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cs="宋体"/>
          <w:b/>
          <w:bCs/>
          <w:sz w:val="28"/>
          <w:szCs w:val="28"/>
        </w:rPr>
      </w:pPr>
      <w:r>
        <w:rPr>
          <w:rFonts w:hint="eastAsia" w:ascii="宋体" w:hAnsi="宋体" w:cs="宋体"/>
          <w:b/>
          <w:bCs/>
          <w:sz w:val="28"/>
          <w:szCs w:val="28"/>
        </w:rPr>
        <w:t>《中国国际进口博览会参展商手册》</w:t>
      </w:r>
    </w:p>
    <w:p>
      <w:pPr>
        <w:widowControl/>
        <w:spacing w:line="500" w:lineRule="exact"/>
        <w:jc w:val="center"/>
        <w:rPr>
          <w:rFonts w:ascii="宋体" w:hAnsi="宋体" w:cs="宋体"/>
          <w:b/>
          <w:bCs/>
          <w:sz w:val="28"/>
          <w:szCs w:val="28"/>
        </w:rPr>
      </w:pPr>
      <w:r>
        <w:rPr>
          <w:rFonts w:hint="eastAsia" w:ascii="宋体" w:hAnsi="宋体" w:cs="宋体"/>
          <w:b/>
          <w:bCs/>
          <w:sz w:val="28"/>
          <w:szCs w:val="28"/>
        </w:rPr>
        <w:t>企业商业展</w:t>
      </w:r>
    </w:p>
    <w:p>
      <w:pPr>
        <w:pStyle w:val="9"/>
        <w:widowControl/>
        <w:numPr>
          <w:ilvl w:val="0"/>
          <w:numId w:val="1"/>
        </w:numPr>
        <w:spacing w:before="0" w:beforeAutospacing="0" w:after="0" w:afterAutospacing="0"/>
        <w:jc w:val="center"/>
        <w:rPr>
          <w:rFonts w:ascii="宋体" w:hAnsi="宋体" w:cs="宋体"/>
          <w:b/>
          <w:bCs/>
          <w:sz w:val="28"/>
          <w:szCs w:val="28"/>
        </w:rPr>
      </w:pPr>
      <w:r>
        <w:rPr>
          <w:rFonts w:hint="eastAsia" w:ascii="宋体" w:hAnsi="宋体" w:cs="宋体"/>
          <w:b/>
          <w:bCs/>
          <w:sz w:val="28"/>
          <w:szCs w:val="28"/>
        </w:rPr>
        <w:t>分 展会规定</w:t>
      </w:r>
    </w:p>
    <w:p>
      <w:pPr>
        <w:pStyle w:val="9"/>
        <w:widowControl/>
        <w:spacing w:before="0" w:beforeAutospacing="0" w:after="0" w:afterAutospacing="0"/>
        <w:ind w:firstLine="560" w:firstLineChars="200"/>
        <w:jc w:val="both"/>
        <w:rPr>
          <w:rFonts w:ascii="宋体" w:hAnsi="宋体" w:cs="宋体"/>
          <w:b/>
          <w:bCs/>
          <w:sz w:val="28"/>
          <w:szCs w:val="28"/>
        </w:rPr>
      </w:pPr>
      <w:r>
        <w:rPr>
          <w:rFonts w:hint="eastAsia" w:ascii="宋体" w:hAnsi="宋体" w:cs="宋体"/>
          <w:sz w:val="28"/>
          <w:szCs w:val="28"/>
        </w:rPr>
        <w:t xml:space="preserve">本《展会规定》中，“主办单位”为中华人民共和国商务部、上海市人民政府；“承办单位”为中国国际进口博览局、国家会展中心（上海）。 </w:t>
      </w:r>
    </w:p>
    <w:p>
      <w:pPr>
        <w:pStyle w:val="9"/>
        <w:widowControl/>
        <w:spacing w:before="0" w:beforeAutospacing="0" w:after="0" w:afterAutospacing="0"/>
        <w:jc w:val="both"/>
        <w:rPr>
          <w:rFonts w:ascii="宋体" w:hAnsi="宋体" w:cs="宋体"/>
          <w:b/>
          <w:bCs/>
          <w:sz w:val="28"/>
          <w:szCs w:val="28"/>
        </w:rPr>
      </w:pPr>
      <w:r>
        <w:rPr>
          <w:rFonts w:hint="eastAsia" w:ascii="宋体" w:hAnsi="宋体" w:cs="宋体"/>
          <w:b/>
          <w:bCs/>
          <w:sz w:val="28"/>
          <w:szCs w:val="28"/>
        </w:rPr>
        <w:t>1. 总则</w:t>
      </w:r>
    </w:p>
    <w:p>
      <w:pPr>
        <w:pStyle w:val="9"/>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ind w:left="560" w:leftChars="0" w:hanging="560" w:hangingChars="200"/>
        <w:jc w:val="both"/>
        <w:textAlignment w:val="auto"/>
        <w:outlineLvl w:val="9"/>
        <w:rPr>
          <w:rFonts w:ascii="宋体" w:hAnsi="宋体" w:cs="宋体"/>
          <w:sz w:val="28"/>
          <w:szCs w:val="28"/>
        </w:rPr>
      </w:pPr>
      <w:bookmarkStart w:id="0" w:name="_Hlk513643086"/>
      <w:r>
        <w:rPr>
          <w:rFonts w:hint="eastAsia" w:ascii="宋体" w:hAnsi="宋体" w:cs="宋体"/>
          <w:sz w:val="28"/>
          <w:szCs w:val="28"/>
          <w:lang w:val="en-US" w:eastAsia="zh-CN"/>
        </w:rPr>
        <w:t xml:space="preserve">1.1 </w:t>
      </w:r>
      <w:r>
        <w:rPr>
          <w:rFonts w:hint="eastAsia" w:ascii="宋体" w:hAnsi="宋体" w:cs="宋体"/>
          <w:sz w:val="28"/>
          <w:szCs w:val="28"/>
        </w:rPr>
        <w:t>根据中华人民共和国法律法规、上海市人民政府及各有关机构的相关规定，</w:t>
      </w:r>
      <w:bookmarkEnd w:id="0"/>
      <w:r>
        <w:rPr>
          <w:rFonts w:hint="eastAsia" w:ascii="宋体" w:hAnsi="宋体" w:cs="宋体"/>
          <w:sz w:val="28"/>
          <w:szCs w:val="28"/>
        </w:rPr>
        <w:t>本《展会规定》对包括但不仅限于安全生产、消防安全、证件管理的相关条款及要求做出了全新的修订，请</w:t>
      </w:r>
      <w:r>
        <w:rPr>
          <w:rFonts w:hint="eastAsia" w:ascii="宋体" w:hAnsi="宋体" w:cs="宋体"/>
          <w:bCs/>
          <w:sz w:val="28"/>
          <w:szCs w:val="28"/>
        </w:rPr>
        <w:t>参展商、搭建商及服务商</w:t>
      </w:r>
      <w:r>
        <w:rPr>
          <w:rFonts w:hint="eastAsia" w:ascii="宋体" w:hAnsi="宋体" w:cs="宋体"/>
          <w:sz w:val="28"/>
          <w:szCs w:val="28"/>
        </w:rPr>
        <w:t>以本《展会规定》为准并严格遵守。</w:t>
      </w:r>
    </w:p>
    <w:p>
      <w:pPr>
        <w:pStyle w:val="9"/>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ind w:left="560" w:leftChars="0" w:hanging="560" w:hangingChars="200"/>
        <w:jc w:val="both"/>
        <w:textAlignment w:val="auto"/>
        <w:outlineLvl w:val="9"/>
        <w:rPr>
          <w:rFonts w:ascii="宋体" w:hAnsi="宋体" w:cs="宋体"/>
          <w:sz w:val="28"/>
          <w:szCs w:val="28"/>
        </w:rPr>
      </w:pPr>
      <w:r>
        <w:rPr>
          <w:rFonts w:hint="eastAsia" w:ascii="宋体" w:hAnsi="宋体" w:cs="宋体"/>
          <w:sz w:val="28"/>
          <w:szCs w:val="28"/>
          <w:lang w:val="en-US" w:eastAsia="zh-CN"/>
        </w:rPr>
        <w:t xml:space="preserve">1.2 </w:t>
      </w:r>
      <w:r>
        <w:rPr>
          <w:rFonts w:hint="eastAsia" w:ascii="宋体" w:hAnsi="宋体" w:cs="宋体"/>
          <w:sz w:val="28"/>
          <w:szCs w:val="28"/>
        </w:rPr>
        <w:t>本《展会规定》是承办单位与参展商签订的《参展合同》的不可分割的组成部分；参展商、搭建商及服务商须遵守本《展会规定》，包括由承办单位推出的任何修订文本。</w:t>
      </w:r>
    </w:p>
    <w:p>
      <w:pPr>
        <w:keepNext w:val="0"/>
        <w:keepLines w:val="0"/>
        <w:pageBreakBefore w:val="0"/>
        <w:numPr>
          <w:numId w:val="0"/>
        </w:numPr>
        <w:kinsoku/>
        <w:wordWrap/>
        <w:overflowPunct/>
        <w:topLinePunct w:val="0"/>
        <w:autoSpaceDE/>
        <w:autoSpaceDN/>
        <w:bidi w:val="0"/>
        <w:adjustRightInd/>
        <w:snapToGrid/>
        <w:ind w:left="560" w:leftChars="0" w:hanging="560" w:hangingChars="200"/>
        <w:jc w:val="both"/>
        <w:textAlignment w:val="auto"/>
        <w:outlineLvl w:val="9"/>
        <w:rPr>
          <w:rFonts w:ascii="宋体" w:hAnsi="宋体" w:cs="宋体"/>
          <w:sz w:val="28"/>
          <w:szCs w:val="28"/>
        </w:rPr>
      </w:pPr>
      <w:r>
        <w:rPr>
          <w:rFonts w:hint="eastAsia" w:ascii="宋体" w:hAnsi="宋体" w:cs="宋体"/>
          <w:color w:val="000000"/>
          <w:kern w:val="0"/>
          <w:sz w:val="28"/>
          <w:szCs w:val="28"/>
          <w:lang w:val="en-US" w:eastAsia="zh-CN"/>
        </w:rPr>
        <w:t xml:space="preserve">1.3 </w:t>
      </w:r>
      <w:r>
        <w:rPr>
          <w:rFonts w:hint="eastAsia" w:ascii="宋体" w:hAnsi="宋体" w:cs="宋体"/>
          <w:color w:val="000000"/>
          <w:kern w:val="0"/>
          <w:sz w:val="28"/>
          <w:szCs w:val="28"/>
        </w:rPr>
        <w:t>请参展商仔细阅读本《参展商手册》中有关安全生产、消防安全、文明参展等规定，</w:t>
      </w:r>
      <w:r>
        <w:rPr>
          <w:rFonts w:hint="eastAsia" w:ascii="宋体" w:hAnsi="宋体" w:cs="宋体"/>
          <w:sz w:val="28"/>
          <w:szCs w:val="28"/>
        </w:rPr>
        <w:t>如有任何不明或疑问，可在展会筹备阶段或展会现场向承办单位、展会指定服务商进行咨询。</w:t>
      </w:r>
    </w:p>
    <w:p>
      <w:pPr>
        <w:keepNext w:val="0"/>
        <w:keepLines w:val="0"/>
        <w:pageBreakBefore w:val="0"/>
        <w:numPr>
          <w:numId w:val="0"/>
        </w:numPr>
        <w:kinsoku/>
        <w:wordWrap/>
        <w:overflowPunct/>
        <w:topLinePunct w:val="0"/>
        <w:autoSpaceDE/>
        <w:autoSpaceDN/>
        <w:bidi w:val="0"/>
        <w:adjustRightInd/>
        <w:snapToGrid/>
        <w:ind w:left="560" w:leftChars="0" w:hanging="560" w:hangingChars="200"/>
        <w:jc w:val="both"/>
        <w:textAlignment w:val="auto"/>
        <w:outlineLvl w:val="9"/>
        <w:rPr>
          <w:rFonts w:ascii="宋体" w:hAnsi="宋体" w:cs="宋体"/>
          <w:sz w:val="28"/>
          <w:szCs w:val="28"/>
        </w:rPr>
      </w:pPr>
      <w:r>
        <w:rPr>
          <w:rFonts w:hint="eastAsia" w:ascii="宋体" w:hAnsi="宋体" w:cs="宋体"/>
          <w:sz w:val="28"/>
          <w:szCs w:val="28"/>
          <w:lang w:val="en-US" w:eastAsia="zh-CN"/>
        </w:rPr>
        <w:t xml:space="preserve">1.4 </w:t>
      </w:r>
      <w:r>
        <w:rPr>
          <w:rFonts w:hint="eastAsia" w:ascii="宋体" w:hAnsi="宋体" w:cs="宋体"/>
          <w:sz w:val="28"/>
          <w:szCs w:val="28"/>
        </w:rPr>
        <w:t>参展商、搭建商及服务商在本届展会期间必须严格遵守承办单位</w:t>
      </w:r>
      <w:bookmarkStart w:id="8" w:name="_GoBack"/>
      <w:bookmarkEnd w:id="8"/>
      <w:r>
        <w:rPr>
          <w:rFonts w:hint="eastAsia" w:ascii="宋体" w:hAnsi="宋体" w:cs="宋体"/>
          <w:sz w:val="28"/>
          <w:szCs w:val="28"/>
        </w:rPr>
        <w:t>印发或通知的各项规定及要求，包括《参展商手册》、《展前通知》、《进馆须知》、《安全须知》、《现场通告》等。</w:t>
      </w:r>
    </w:p>
    <w:p>
      <w:pPr>
        <w:pStyle w:val="9"/>
        <w:widowControl/>
        <w:numPr>
          <w:ilvl w:val="0"/>
          <w:numId w:val="2"/>
        </w:numPr>
        <w:spacing w:before="0" w:beforeAutospacing="0" w:after="0" w:afterAutospacing="0"/>
        <w:jc w:val="both"/>
        <w:rPr>
          <w:rFonts w:ascii="宋体" w:hAnsi="宋体" w:cs="宋体"/>
          <w:b/>
          <w:bCs/>
          <w:sz w:val="28"/>
          <w:szCs w:val="28"/>
        </w:rPr>
      </w:pPr>
      <w:r>
        <w:rPr>
          <w:rFonts w:hint="eastAsia" w:ascii="宋体" w:hAnsi="宋体" w:cs="宋体"/>
          <w:b/>
          <w:bCs/>
          <w:sz w:val="28"/>
          <w:szCs w:val="28"/>
        </w:rPr>
        <w:t>证件管理</w:t>
      </w:r>
    </w:p>
    <w:p>
      <w:pPr>
        <w:pStyle w:val="9"/>
        <w:widowControl/>
        <w:spacing w:before="0" w:beforeAutospacing="0" w:after="0" w:afterAutospacing="0"/>
        <w:ind w:firstLine="560" w:firstLineChars="200"/>
        <w:jc w:val="both"/>
        <w:rPr>
          <w:rFonts w:ascii="宋体" w:hAnsi="宋体" w:cs="宋体"/>
          <w:color w:val="000000"/>
          <w:sz w:val="28"/>
          <w:szCs w:val="28"/>
        </w:rPr>
      </w:pPr>
      <w:r>
        <w:rPr>
          <w:rFonts w:hint="eastAsia" w:ascii="宋体" w:hAnsi="宋体" w:cs="宋体"/>
          <w:color w:val="000000"/>
          <w:sz w:val="28"/>
          <w:szCs w:val="28"/>
        </w:rPr>
        <w:t>相关细则承办单位将于后续公布。</w:t>
      </w:r>
    </w:p>
    <w:p>
      <w:pPr>
        <w:pStyle w:val="9"/>
        <w:widowControl/>
        <w:spacing w:before="0" w:beforeAutospacing="0" w:after="0" w:afterAutospacing="0"/>
        <w:jc w:val="both"/>
        <w:rPr>
          <w:rFonts w:ascii="宋体" w:hAnsi="宋体" w:cs="宋体"/>
          <w:b/>
          <w:bCs/>
          <w:sz w:val="28"/>
          <w:szCs w:val="28"/>
        </w:rPr>
      </w:pPr>
      <w:r>
        <w:rPr>
          <w:rFonts w:hint="eastAsia" w:ascii="宋体" w:hAnsi="宋体" w:cs="宋体"/>
          <w:b/>
          <w:bCs/>
          <w:sz w:val="28"/>
          <w:szCs w:val="28"/>
        </w:rPr>
        <w:t>3. 基本规定</w:t>
      </w:r>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 xml:space="preserve">3.1 展台运作 </w:t>
      </w:r>
    </w:p>
    <w:p>
      <w:pPr>
        <w:numPr>
          <w:ilvl w:val="0"/>
          <w:numId w:val="3"/>
        </w:numPr>
        <w:rPr>
          <w:rFonts w:ascii="宋体" w:hAnsi="宋体" w:cs="宋体"/>
          <w:sz w:val="28"/>
          <w:szCs w:val="28"/>
        </w:rPr>
      </w:pPr>
      <w:r>
        <w:rPr>
          <w:rFonts w:hint="eastAsia" w:ascii="宋体" w:hAnsi="宋体" w:cs="宋体"/>
          <w:sz w:val="28"/>
          <w:szCs w:val="28"/>
        </w:rPr>
        <w:t>展台整体布局由承办单位统一规划，如承办单位认为相应展台的布局或位置变动有利于展会，则有权对其分布做出调整。</w:t>
      </w:r>
    </w:p>
    <w:p>
      <w:pPr>
        <w:numPr>
          <w:ilvl w:val="0"/>
          <w:numId w:val="3"/>
        </w:numPr>
        <w:rPr>
          <w:rFonts w:ascii="宋体" w:hAnsi="宋体" w:cs="宋体"/>
          <w:sz w:val="28"/>
          <w:szCs w:val="28"/>
        </w:rPr>
      </w:pPr>
      <w:r>
        <w:rPr>
          <w:rFonts w:hint="eastAsia" w:ascii="宋体" w:hAnsi="宋体" w:cs="宋体"/>
          <w:sz w:val="28"/>
          <w:szCs w:val="28"/>
        </w:rPr>
        <w:t>展会结束前，所有的展台和展品必须处于正常展览和运转状态，不得以任何理由提前结束展览。</w:t>
      </w:r>
    </w:p>
    <w:p>
      <w:pPr>
        <w:numPr>
          <w:ilvl w:val="0"/>
          <w:numId w:val="3"/>
        </w:numPr>
        <w:rPr>
          <w:rFonts w:ascii="宋体" w:hAnsi="宋体" w:cs="宋体"/>
          <w:sz w:val="28"/>
          <w:szCs w:val="28"/>
        </w:rPr>
      </w:pPr>
      <w:r>
        <w:rPr>
          <w:rFonts w:hint="eastAsia" w:ascii="宋体" w:hAnsi="宋体" w:cs="宋体"/>
          <w:sz w:val="28"/>
          <w:szCs w:val="28"/>
        </w:rPr>
        <w:t>参展商不得转让、分租其部分或全部的展台，展台实际使用者必须是</w:t>
      </w:r>
      <w:bookmarkStart w:id="1" w:name="_Hlk513643188"/>
      <w:r>
        <w:rPr>
          <w:rFonts w:hint="eastAsia" w:ascii="宋体" w:hAnsi="宋体" w:cs="宋体"/>
          <w:sz w:val="28"/>
          <w:szCs w:val="28"/>
        </w:rPr>
        <w:t>与承办单位签署《参展合同》的参展单位</w:t>
      </w:r>
      <w:bookmarkEnd w:id="1"/>
      <w:r>
        <w:rPr>
          <w:rFonts w:hint="eastAsia" w:ascii="宋体" w:hAnsi="宋体" w:cs="宋体"/>
          <w:sz w:val="28"/>
          <w:szCs w:val="28"/>
        </w:rPr>
        <w:t>。</w:t>
      </w:r>
    </w:p>
    <w:p>
      <w:pPr>
        <w:numPr>
          <w:ilvl w:val="0"/>
          <w:numId w:val="3"/>
        </w:numPr>
        <w:rPr>
          <w:rFonts w:ascii="宋体" w:hAnsi="宋体" w:cs="宋体"/>
          <w:sz w:val="28"/>
          <w:szCs w:val="28"/>
        </w:rPr>
      </w:pPr>
      <w:r>
        <w:rPr>
          <w:rFonts w:hint="eastAsia" w:ascii="宋体" w:hAnsi="宋体" w:cs="宋体"/>
          <w:sz w:val="28"/>
          <w:szCs w:val="28"/>
        </w:rPr>
        <w:t>展台须明显标示出参展商的企业名称及展台编号，标示内容不得违反中国法律法规及展会相关规定。</w:t>
      </w:r>
    </w:p>
    <w:p>
      <w:pPr>
        <w:numPr>
          <w:ilvl w:val="0"/>
          <w:numId w:val="3"/>
        </w:numPr>
        <w:rPr>
          <w:rFonts w:ascii="宋体" w:hAnsi="宋体" w:cs="宋体"/>
          <w:sz w:val="28"/>
          <w:szCs w:val="28"/>
        </w:rPr>
      </w:pPr>
      <w:r>
        <w:rPr>
          <w:rFonts w:hint="eastAsia" w:ascii="宋体" w:hAnsi="宋体" w:cs="宋体"/>
          <w:sz w:val="28"/>
          <w:szCs w:val="28"/>
        </w:rPr>
        <w:t>展台须按照合同签定的面积清晰划分，展台结构不得超出其边界；如有违反，承办单位有权要求其整改并承担相关费用。</w:t>
      </w:r>
    </w:p>
    <w:p>
      <w:pPr>
        <w:numPr>
          <w:ilvl w:val="0"/>
          <w:numId w:val="3"/>
        </w:numPr>
        <w:rPr>
          <w:rFonts w:ascii="宋体" w:hAnsi="宋体" w:cs="宋体"/>
          <w:sz w:val="28"/>
          <w:szCs w:val="28"/>
        </w:rPr>
      </w:pPr>
      <w:r>
        <w:rPr>
          <w:rFonts w:hint="eastAsia" w:ascii="宋体" w:hAnsi="宋体" w:cs="宋体"/>
          <w:sz w:val="28"/>
          <w:szCs w:val="28"/>
        </w:rPr>
        <w:t>参展商不得在其展台边界以外展示、悬挂或分发任何物品。</w:t>
      </w:r>
    </w:p>
    <w:p>
      <w:pPr>
        <w:numPr>
          <w:ilvl w:val="0"/>
          <w:numId w:val="3"/>
        </w:numPr>
        <w:rPr>
          <w:rFonts w:ascii="宋体" w:hAnsi="宋体" w:cs="宋体"/>
          <w:sz w:val="28"/>
          <w:szCs w:val="28"/>
        </w:rPr>
      </w:pPr>
      <w:r>
        <w:rPr>
          <w:rFonts w:hint="eastAsia" w:ascii="宋体" w:hAnsi="宋体" w:cs="宋体"/>
          <w:sz w:val="28"/>
          <w:szCs w:val="28"/>
        </w:rPr>
        <w:t>为确保整体视觉效果，所有展台的结构和布置应考虑不对其他展台造成视线上的阻碍；如有违反，承办单位有权要求其整改并承担相关费用。</w:t>
      </w:r>
    </w:p>
    <w:p>
      <w:pPr>
        <w:numPr>
          <w:ilvl w:val="0"/>
          <w:numId w:val="3"/>
        </w:numPr>
        <w:rPr>
          <w:rFonts w:ascii="宋体" w:hAnsi="宋体" w:cs="宋体"/>
          <w:sz w:val="28"/>
          <w:szCs w:val="28"/>
        </w:rPr>
      </w:pPr>
      <w:r>
        <w:rPr>
          <w:rFonts w:hint="eastAsia" w:ascii="宋体" w:hAnsi="宋体" w:cs="宋体"/>
          <w:sz w:val="28"/>
          <w:szCs w:val="28"/>
        </w:rPr>
        <w:t>所有展台须保证完整性及美观性，同时符合承办单位及中国政府有关部门的质量标准和安全标准；如有违反，承办单位有权要求其整改并承担相关费用。</w:t>
      </w:r>
    </w:p>
    <w:p>
      <w:pPr>
        <w:numPr>
          <w:ilvl w:val="0"/>
          <w:numId w:val="3"/>
        </w:numPr>
        <w:rPr>
          <w:rFonts w:ascii="宋体" w:hAnsi="宋体" w:cs="宋体"/>
          <w:sz w:val="28"/>
          <w:szCs w:val="28"/>
        </w:rPr>
      </w:pPr>
      <w:r>
        <w:rPr>
          <w:rFonts w:hint="eastAsia" w:ascii="宋体" w:hAnsi="宋体" w:cs="宋体"/>
          <w:sz w:val="28"/>
          <w:szCs w:val="28"/>
        </w:rPr>
        <w:t>不得利用相邻展台的墙板作为自己的墙板；相邻展台搭建高度不一致的，展台高出部分应由参展商或其搭建商负责做好美化处理。</w:t>
      </w:r>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3.2 展品演示</w:t>
      </w:r>
    </w:p>
    <w:p>
      <w:pPr>
        <w:numPr>
          <w:ilvl w:val="0"/>
          <w:numId w:val="4"/>
        </w:numPr>
        <w:rPr>
          <w:rFonts w:ascii="宋体" w:hAnsi="宋体" w:cs="宋体"/>
          <w:sz w:val="28"/>
          <w:szCs w:val="28"/>
        </w:rPr>
      </w:pPr>
      <w:r>
        <w:rPr>
          <w:rFonts w:hint="eastAsia" w:ascii="宋体" w:hAnsi="宋体" w:cs="宋体"/>
          <w:sz w:val="28"/>
          <w:szCs w:val="28"/>
        </w:rPr>
        <w:t>参展商须确保其展品都是自身生产、合法代理或经销的产品，其展品、展位设计、宣传品不侵犯他人知识产权；若出现知识产权纠纷的，</w:t>
      </w:r>
      <w:bookmarkStart w:id="2" w:name="_Hlk513643257"/>
      <w:r>
        <w:rPr>
          <w:rFonts w:hint="eastAsia" w:ascii="宋体" w:hAnsi="宋体" w:cs="宋体"/>
          <w:sz w:val="28"/>
          <w:szCs w:val="28"/>
        </w:rPr>
        <w:t>按照《中国国际进口博览会关于涉嫌侵犯知识产权的投诉及处理办法》处理。</w:t>
      </w:r>
      <w:bookmarkEnd w:id="2"/>
    </w:p>
    <w:p>
      <w:pPr>
        <w:numPr>
          <w:ilvl w:val="0"/>
          <w:numId w:val="4"/>
        </w:numPr>
        <w:rPr>
          <w:rFonts w:ascii="宋体" w:hAnsi="宋体" w:cs="宋体"/>
          <w:sz w:val="28"/>
          <w:szCs w:val="28"/>
        </w:rPr>
      </w:pPr>
      <w:r>
        <w:rPr>
          <w:rFonts w:hint="eastAsia" w:ascii="宋体" w:hAnsi="宋体" w:cs="宋体"/>
          <w:sz w:val="28"/>
          <w:szCs w:val="28"/>
        </w:rPr>
        <w:t>参展商不得直接或间接展示、宣传与企业自身产品、服务无关的材料，不得进行违反中国法律或公序良俗，也不得在展览场地以任何形式陈列、展示、宣传任何其他展会的资料或为其进行任何形式的宣传活动；违反中国法律法规和展会举办地政府相关法规和规定的，参展商应依法承担相应的法律责任。</w:t>
      </w:r>
    </w:p>
    <w:p>
      <w:pPr>
        <w:numPr>
          <w:ilvl w:val="0"/>
          <w:numId w:val="4"/>
        </w:numPr>
        <w:tabs>
          <w:tab w:val="left" w:pos="312"/>
        </w:tabs>
        <w:rPr>
          <w:rFonts w:ascii="宋体" w:hAnsi="宋体" w:cs="宋体"/>
          <w:sz w:val="28"/>
          <w:szCs w:val="28"/>
        </w:rPr>
      </w:pPr>
      <w:r>
        <w:rPr>
          <w:rFonts w:hint="eastAsia" w:ascii="宋体" w:hAnsi="宋体" w:cs="宋体"/>
          <w:color w:val="000000"/>
          <w:sz w:val="28"/>
          <w:szCs w:val="28"/>
        </w:rPr>
        <w:t>严禁展示、发放与展会主题或展品范围不相符的宣传资料，包括但不仅限于海报、文件、影视作品等宣传资料。</w:t>
      </w:r>
    </w:p>
    <w:p>
      <w:pPr>
        <w:numPr>
          <w:ilvl w:val="0"/>
          <w:numId w:val="4"/>
        </w:numPr>
        <w:tabs>
          <w:tab w:val="left" w:pos="312"/>
        </w:tabs>
        <w:rPr>
          <w:rFonts w:ascii="宋体" w:hAnsi="宋体" w:cs="宋体"/>
          <w:sz w:val="28"/>
          <w:szCs w:val="28"/>
        </w:rPr>
      </w:pPr>
      <w:r>
        <w:rPr>
          <w:rFonts w:hint="eastAsia" w:ascii="宋体" w:hAnsi="宋体" w:cs="宋体"/>
          <w:sz w:val="28"/>
          <w:szCs w:val="28"/>
        </w:rPr>
        <w:t>如展会现场涉及机械类展品需动态演示的，参展商须提前向承办单位提交有关于动态展品演示的详细材料，获承办单位书面批准后方可进行。具体请详见附表1：《动态展品演示申请表》。</w:t>
      </w:r>
    </w:p>
    <w:p>
      <w:pPr>
        <w:numPr>
          <w:ilvl w:val="0"/>
          <w:numId w:val="4"/>
        </w:numPr>
        <w:tabs>
          <w:tab w:val="left" w:pos="312"/>
        </w:tabs>
        <w:rPr>
          <w:rFonts w:ascii="宋体" w:hAnsi="宋体" w:cs="宋体"/>
          <w:sz w:val="28"/>
          <w:szCs w:val="28"/>
        </w:rPr>
      </w:pPr>
      <w:r>
        <w:rPr>
          <w:rFonts w:hint="eastAsia" w:ascii="宋体" w:hAnsi="宋体" w:cs="宋体"/>
          <w:sz w:val="28"/>
          <w:szCs w:val="28"/>
        </w:rPr>
        <w:t>参展商须确保任何参与展示的机械设备由专业人员操作，在无专业人员监管的情况下设备不可进行涉及机械类展品的动态演示活动。</w:t>
      </w:r>
    </w:p>
    <w:p>
      <w:pPr>
        <w:numPr>
          <w:ilvl w:val="0"/>
          <w:numId w:val="4"/>
        </w:numPr>
        <w:rPr>
          <w:rFonts w:ascii="宋体" w:hAnsi="宋体" w:cs="宋体"/>
          <w:sz w:val="28"/>
          <w:szCs w:val="28"/>
        </w:rPr>
      </w:pPr>
      <w:r>
        <w:rPr>
          <w:rFonts w:hint="eastAsia" w:ascii="宋体" w:hAnsi="宋体" w:cs="宋体"/>
          <w:sz w:val="28"/>
          <w:szCs w:val="28"/>
        </w:rPr>
        <w:t>参展商须确保其所有可运转的机器均配有安全装置，且安全装置仅在机器被切断电源后方可移走。</w:t>
      </w:r>
    </w:p>
    <w:p>
      <w:pPr>
        <w:numPr>
          <w:ilvl w:val="0"/>
          <w:numId w:val="4"/>
        </w:numPr>
        <w:rPr>
          <w:rFonts w:ascii="宋体" w:hAnsi="宋体" w:cs="宋体"/>
          <w:sz w:val="28"/>
          <w:szCs w:val="28"/>
        </w:rPr>
      </w:pPr>
      <w:r>
        <w:rPr>
          <w:rFonts w:hint="eastAsia" w:ascii="宋体" w:hAnsi="宋体" w:cs="宋体"/>
          <w:sz w:val="28"/>
          <w:szCs w:val="28"/>
        </w:rPr>
        <w:t>机械设备的出风口、排气口不得面向相邻展台或人行通道；如展品演示过程中产生噪音、热量、气体和烟尘等污染或干扰展会进行的，应采取措施做好防护工作。</w:t>
      </w:r>
    </w:p>
    <w:p>
      <w:pPr>
        <w:numPr>
          <w:ilvl w:val="0"/>
          <w:numId w:val="4"/>
        </w:numPr>
        <w:rPr>
          <w:rFonts w:ascii="宋体" w:hAnsi="宋体" w:cs="宋体"/>
          <w:sz w:val="28"/>
          <w:szCs w:val="28"/>
        </w:rPr>
      </w:pPr>
      <w:r>
        <w:rPr>
          <w:rFonts w:hint="eastAsia" w:ascii="宋体" w:hAnsi="宋体" w:cs="宋体"/>
          <w:sz w:val="28"/>
          <w:szCs w:val="28"/>
        </w:rPr>
        <w:t>进行切割、切削、激光等易产生明火、高温、人体伤害的危险展品演示时，必须配备并安装符合中国相关部门质量标准的防护罩，安排专业人员操作且按规定配备灭火器。</w:t>
      </w:r>
    </w:p>
    <w:p>
      <w:pPr>
        <w:numPr>
          <w:ilvl w:val="0"/>
          <w:numId w:val="4"/>
        </w:numPr>
        <w:tabs>
          <w:tab w:val="left" w:pos="220"/>
        </w:tabs>
        <w:rPr>
          <w:rFonts w:ascii="宋体" w:hAnsi="宋体" w:cs="宋体"/>
          <w:sz w:val="28"/>
          <w:szCs w:val="28"/>
        </w:rPr>
      </w:pPr>
      <w:r>
        <w:rPr>
          <w:rFonts w:hint="eastAsia" w:ascii="宋体" w:hAnsi="宋体" w:cs="宋体"/>
          <w:sz w:val="28"/>
          <w:szCs w:val="28"/>
        </w:rPr>
        <w:t>确保在演示、使用电子、无线通讯、卫星传输设备时均获得了承办方和当地相关政府管理部门的批件、许可，并遵守演示的规定。</w:t>
      </w:r>
    </w:p>
    <w:p>
      <w:pPr>
        <w:numPr>
          <w:ilvl w:val="0"/>
          <w:numId w:val="4"/>
        </w:numPr>
        <w:tabs>
          <w:tab w:val="left" w:pos="220"/>
        </w:tabs>
        <w:rPr>
          <w:rFonts w:ascii="宋体" w:hAnsi="宋体" w:cs="宋体"/>
          <w:sz w:val="28"/>
          <w:szCs w:val="28"/>
        </w:rPr>
      </w:pPr>
      <w:r>
        <w:rPr>
          <w:rFonts w:hint="eastAsia" w:ascii="宋体" w:hAnsi="宋体" w:cs="宋体"/>
          <w:sz w:val="28"/>
          <w:szCs w:val="28"/>
        </w:rPr>
        <w:t>所有展示车辆需根据承办单位和展馆的指定路线，凭展示车证入场；在未经允许的时间内，展示车辆不得在展馆内随意行驶；所有进入展馆的各类展示车辆的油箱油量不得超过10%，如有违反则不得驶入。</w:t>
      </w:r>
    </w:p>
    <w:p>
      <w:pPr>
        <w:numPr>
          <w:ilvl w:val="0"/>
          <w:numId w:val="4"/>
        </w:numPr>
        <w:tabs>
          <w:tab w:val="left" w:pos="220"/>
        </w:tabs>
        <w:rPr>
          <w:rStyle w:val="12"/>
          <w:rFonts w:ascii="宋体" w:hAnsi="宋体" w:cs="宋体"/>
          <w:sz w:val="28"/>
          <w:szCs w:val="28"/>
        </w:rPr>
      </w:pPr>
      <w:r>
        <w:rPr>
          <w:rFonts w:hint="eastAsia" w:ascii="宋体" w:hAnsi="宋体" w:cs="宋体"/>
          <w:sz w:val="28"/>
          <w:szCs w:val="28"/>
        </w:rPr>
        <w:t>参展商或其他单位不得私自通过各种网络设备和手段（包括但不限于无线WIFI，IBEACON，BLE，NFC等）收集、使用展会现场的个人信息（包括电子信息）。</w:t>
      </w:r>
    </w:p>
    <w:p>
      <w:pPr>
        <w:tabs>
          <w:tab w:val="left" w:pos="220"/>
        </w:tabs>
        <w:rPr>
          <w:rFonts w:ascii="宋体" w:hAnsi="宋体" w:cs="宋体"/>
          <w:b/>
          <w:sz w:val="28"/>
          <w:szCs w:val="28"/>
        </w:rPr>
      </w:pPr>
      <w:r>
        <w:rPr>
          <w:rFonts w:hint="eastAsia" w:ascii="宋体" w:hAnsi="宋体" w:cs="宋体"/>
          <w:b/>
          <w:sz w:val="28"/>
          <w:szCs w:val="28"/>
        </w:rPr>
        <w:t>3.3 现场活动申报</w:t>
      </w:r>
    </w:p>
    <w:p>
      <w:pPr>
        <w:pStyle w:val="9"/>
        <w:widowControl/>
        <w:numPr>
          <w:ilvl w:val="0"/>
          <w:numId w:val="5"/>
        </w:numPr>
        <w:spacing w:before="0" w:beforeAutospacing="0" w:after="0" w:afterAutospacing="0"/>
        <w:jc w:val="both"/>
        <w:rPr>
          <w:rFonts w:ascii="宋体" w:hAnsi="宋体" w:cs="宋体"/>
          <w:color w:val="000000"/>
          <w:sz w:val="28"/>
          <w:szCs w:val="28"/>
        </w:rPr>
      </w:pPr>
      <w:r>
        <w:rPr>
          <w:rFonts w:hint="eastAsia" w:ascii="宋体" w:hAnsi="宋体" w:cs="宋体"/>
          <w:sz w:val="28"/>
          <w:szCs w:val="28"/>
        </w:rPr>
        <w:t>参展商须提前向承办单位申报在展会现场进行的活动（包括但不仅限于会议、活动、新闻发布会、演出、广告宣传、礼品及资料派发等），获承办单位书面批准后方可进行。</w:t>
      </w:r>
    </w:p>
    <w:p>
      <w:pPr>
        <w:numPr>
          <w:ilvl w:val="0"/>
          <w:numId w:val="5"/>
        </w:numPr>
        <w:rPr>
          <w:rFonts w:ascii="宋体" w:hAnsi="宋体" w:cs="宋体"/>
          <w:sz w:val="28"/>
          <w:szCs w:val="28"/>
        </w:rPr>
      </w:pPr>
      <w:bookmarkStart w:id="3" w:name="_Hlk513643473"/>
      <w:r>
        <w:rPr>
          <w:rFonts w:hint="eastAsia" w:ascii="宋体" w:hAnsi="宋体" w:cs="宋体"/>
          <w:sz w:val="28"/>
          <w:szCs w:val="28"/>
        </w:rPr>
        <w:t>参展商须确保其现场活动的内容不得违反中华人民共和国法律法规</w:t>
      </w:r>
      <w:bookmarkEnd w:id="3"/>
      <w:r>
        <w:rPr>
          <w:rFonts w:hint="eastAsia" w:ascii="宋体" w:hAnsi="宋体" w:cs="宋体"/>
          <w:sz w:val="28"/>
          <w:szCs w:val="28"/>
        </w:rPr>
        <w:t>，不得影响展会安全。</w:t>
      </w:r>
    </w:p>
    <w:p>
      <w:pPr>
        <w:numPr>
          <w:ilvl w:val="0"/>
          <w:numId w:val="5"/>
        </w:numPr>
        <w:rPr>
          <w:rFonts w:ascii="宋体" w:hAnsi="宋体" w:cs="宋体"/>
          <w:sz w:val="28"/>
          <w:szCs w:val="28"/>
        </w:rPr>
      </w:pPr>
      <w:r>
        <w:rPr>
          <w:rFonts w:hint="eastAsia" w:ascii="宋体" w:hAnsi="宋体" w:cs="宋体"/>
          <w:sz w:val="28"/>
          <w:szCs w:val="28"/>
        </w:rPr>
        <w:t>参展商的宣传活动及材料分发（包括但不仅限于宣传单、杂志发放、现场巡游等），必须经承办单位书面批准后方可进行，不得超出批准范围。</w:t>
      </w:r>
    </w:p>
    <w:p>
      <w:pPr>
        <w:numPr>
          <w:ilvl w:val="0"/>
          <w:numId w:val="5"/>
        </w:numPr>
        <w:rPr>
          <w:rFonts w:ascii="宋体" w:hAnsi="宋体"/>
          <w:sz w:val="28"/>
        </w:rPr>
      </w:pPr>
      <w:r>
        <w:rPr>
          <w:rFonts w:hint="eastAsia" w:ascii="宋体" w:hAnsi="宋体" w:cs="宋体"/>
          <w:sz w:val="28"/>
          <w:szCs w:val="28"/>
        </w:rPr>
        <w:t>在已获承办单位书面批准的现场活动中如引起任何问题或不良影响，</w:t>
      </w:r>
      <w:bookmarkStart w:id="4" w:name="_Hlk513643654"/>
      <w:r>
        <w:rPr>
          <w:rFonts w:hint="eastAsia" w:ascii="宋体" w:hAnsi="宋体" w:cs="宋体"/>
          <w:sz w:val="28"/>
          <w:szCs w:val="28"/>
        </w:rPr>
        <w:t>承办单位有权责令参展商采取包括但不限于降低音量、关闭设备、暂停或停止活动等必要措施；如参展商拒不按照前述要求采取相关必要措施的，承办单位保留切断电源、网络以及其他强行要求参展商终止活动的权利。</w:t>
      </w:r>
      <w:bookmarkEnd w:id="4"/>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3.4 特殊物品进馆</w:t>
      </w:r>
    </w:p>
    <w:p>
      <w:pPr>
        <w:numPr>
          <w:ilvl w:val="0"/>
          <w:numId w:val="6"/>
        </w:numPr>
        <w:rPr>
          <w:rFonts w:ascii="宋体" w:hAnsi="宋体" w:cs="宋体"/>
          <w:sz w:val="28"/>
          <w:szCs w:val="28"/>
        </w:rPr>
      </w:pPr>
      <w:r>
        <w:rPr>
          <w:rFonts w:hint="eastAsia" w:ascii="宋体" w:hAnsi="宋体" w:cs="宋体"/>
          <w:sz w:val="28"/>
          <w:szCs w:val="28"/>
        </w:rPr>
        <w:t>特殊物品泛指空压机、润滑油、柴油等丙类油品、惰性气体、助燃或可燃气体等。</w:t>
      </w:r>
    </w:p>
    <w:p>
      <w:pPr>
        <w:numPr>
          <w:ilvl w:val="0"/>
          <w:numId w:val="6"/>
        </w:numPr>
        <w:rPr>
          <w:rFonts w:ascii="宋体" w:hAnsi="宋体" w:cs="宋体"/>
          <w:sz w:val="28"/>
          <w:szCs w:val="28"/>
        </w:rPr>
      </w:pPr>
      <w:r>
        <w:rPr>
          <w:rFonts w:hint="eastAsia" w:ascii="宋体" w:hAnsi="宋体" w:cs="宋体"/>
          <w:sz w:val="28"/>
          <w:szCs w:val="28"/>
        </w:rPr>
        <w:t>参展商须严格按照要求填写、办理特殊物品进馆申请表，确保信息完整、准确，获承办单位书面批准后方可带入展馆内，同时做好特殊物品进馆后的现场安全管理工作。具体请详见附表3：《特殊物品进馆申请表》。</w:t>
      </w:r>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3.5 展场布置</w:t>
      </w:r>
    </w:p>
    <w:p>
      <w:pPr>
        <w:numPr>
          <w:ilvl w:val="0"/>
          <w:numId w:val="7"/>
        </w:numPr>
        <w:rPr>
          <w:rFonts w:ascii="宋体" w:hAnsi="宋体" w:cs="宋体"/>
          <w:sz w:val="28"/>
          <w:szCs w:val="28"/>
        </w:rPr>
      </w:pPr>
      <w:r>
        <w:rPr>
          <w:rFonts w:hint="eastAsia" w:ascii="宋体" w:hAnsi="宋体" w:cs="宋体"/>
          <w:sz w:val="28"/>
          <w:szCs w:val="28"/>
        </w:rPr>
        <w:t>展馆的地面承重能力具体请详见本《参展商手册》中“展馆技术数据”，展品操作或演示时如有垂直振动部件的，应做好减震措施。</w:t>
      </w:r>
    </w:p>
    <w:p>
      <w:pPr>
        <w:numPr>
          <w:ilvl w:val="0"/>
          <w:numId w:val="7"/>
        </w:numPr>
        <w:rPr>
          <w:rFonts w:ascii="宋体" w:hAnsi="宋体" w:cs="宋体"/>
          <w:sz w:val="28"/>
          <w:szCs w:val="28"/>
        </w:rPr>
      </w:pPr>
      <w:r>
        <w:rPr>
          <w:rFonts w:hint="eastAsia" w:ascii="宋体" w:hAnsi="宋体" w:cs="宋体"/>
          <w:sz w:val="28"/>
          <w:szCs w:val="28"/>
        </w:rPr>
        <w:t>展品不得借力或倚靠展馆的固定设施设备和结构；展馆地沟、地井的取电口和立式电柜大门必须确保得以正常开启。</w:t>
      </w:r>
    </w:p>
    <w:p>
      <w:pPr>
        <w:numPr>
          <w:ilvl w:val="0"/>
          <w:numId w:val="7"/>
        </w:numPr>
        <w:rPr>
          <w:rFonts w:ascii="宋体" w:hAnsi="宋体" w:cs="宋体"/>
          <w:sz w:val="28"/>
          <w:szCs w:val="28"/>
        </w:rPr>
      </w:pPr>
      <w:r>
        <w:rPr>
          <w:rFonts w:hint="eastAsia" w:ascii="宋体" w:hAnsi="宋体" w:cs="宋体"/>
          <w:sz w:val="28"/>
          <w:szCs w:val="28"/>
        </w:rPr>
        <w:t>不得在展馆地面、墙面等位置使用钉子、胶水等材料粘贴、悬挂装饰物及海报。</w:t>
      </w:r>
    </w:p>
    <w:p>
      <w:pPr>
        <w:numPr>
          <w:ilvl w:val="0"/>
          <w:numId w:val="7"/>
        </w:numPr>
        <w:rPr>
          <w:rFonts w:ascii="宋体" w:hAnsi="宋体" w:cs="宋体"/>
          <w:sz w:val="28"/>
          <w:szCs w:val="28"/>
        </w:rPr>
      </w:pPr>
      <w:r>
        <w:rPr>
          <w:rFonts w:hint="eastAsia" w:ascii="宋体" w:hAnsi="宋体" w:cs="宋体"/>
          <w:sz w:val="28"/>
          <w:szCs w:val="28"/>
        </w:rPr>
        <w:t>不得在展馆内或室外场地使用飞艇、气球、无人机等空中悬停装备。</w:t>
      </w:r>
    </w:p>
    <w:p>
      <w:pPr>
        <w:numPr>
          <w:ilvl w:val="0"/>
          <w:numId w:val="7"/>
        </w:numPr>
        <w:rPr>
          <w:rFonts w:ascii="宋体" w:hAnsi="宋体" w:cs="宋体"/>
          <w:sz w:val="28"/>
          <w:szCs w:val="28"/>
        </w:rPr>
      </w:pPr>
      <w:r>
        <w:rPr>
          <w:rFonts w:hint="eastAsia" w:ascii="宋体" w:hAnsi="宋体" w:cs="宋体"/>
          <w:sz w:val="28"/>
          <w:szCs w:val="28"/>
        </w:rPr>
        <w:t>严禁在未经采取防漏保护的措施下使用污水、沙土、泥炭、苔等类似材料参与搭建及展示，以防粘污展馆固定设施设备。</w:t>
      </w:r>
    </w:p>
    <w:p>
      <w:pPr>
        <w:numPr>
          <w:ilvl w:val="0"/>
          <w:numId w:val="7"/>
        </w:numPr>
        <w:rPr>
          <w:rFonts w:ascii="宋体" w:hAnsi="宋体" w:cs="宋体"/>
          <w:sz w:val="28"/>
          <w:szCs w:val="28"/>
        </w:rPr>
      </w:pPr>
      <w:r>
        <w:rPr>
          <w:rFonts w:hint="eastAsia" w:ascii="宋体" w:hAnsi="宋体" w:cs="宋体"/>
          <w:sz w:val="28"/>
          <w:szCs w:val="28"/>
        </w:rPr>
        <w:t>严禁使用含碳酸钙的劣质地毯、双面海棉胶或其它难以清除的材料铺设地毯，必须使用不燃或难燃的环保地毯及布制双面胶。</w:t>
      </w:r>
    </w:p>
    <w:p>
      <w:pPr>
        <w:numPr>
          <w:ilvl w:val="0"/>
          <w:numId w:val="7"/>
        </w:numPr>
        <w:rPr>
          <w:rFonts w:ascii="宋体" w:hAnsi="宋体" w:cs="宋体"/>
          <w:sz w:val="28"/>
          <w:szCs w:val="28"/>
        </w:rPr>
      </w:pPr>
      <w:r>
        <w:rPr>
          <w:rFonts w:hint="eastAsia" w:ascii="宋体" w:hAnsi="宋体" w:cs="宋体"/>
          <w:sz w:val="28"/>
          <w:szCs w:val="28"/>
        </w:rPr>
        <w:t>结构中如有玻璃装饰或搭建的展台，必须确保施工及安装牢固，并在可视的高度设有醒目标识，以防造成人员伤亡。</w:t>
      </w:r>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3.6 损坏赔偿</w:t>
      </w:r>
    </w:p>
    <w:p>
      <w:pPr>
        <w:numPr>
          <w:ilvl w:val="0"/>
          <w:numId w:val="8"/>
        </w:numPr>
        <w:rPr>
          <w:rFonts w:ascii="宋体" w:hAnsi="宋体" w:cs="宋体"/>
          <w:sz w:val="28"/>
          <w:szCs w:val="28"/>
        </w:rPr>
      </w:pPr>
      <w:r>
        <w:rPr>
          <w:rFonts w:hint="eastAsia" w:ascii="宋体" w:hAnsi="宋体" w:cs="宋体"/>
          <w:sz w:val="28"/>
          <w:szCs w:val="28"/>
        </w:rPr>
        <w:t>参展商及其委托的服务商如未能遵守展会规定所造成展馆固定设施、租用设备、地面、墙面等财物损坏或其他人员的人身损害，须承担相关赔偿责任。</w:t>
      </w:r>
    </w:p>
    <w:p>
      <w:pPr>
        <w:numPr>
          <w:ilvl w:val="0"/>
          <w:numId w:val="8"/>
        </w:numPr>
        <w:rPr>
          <w:rFonts w:ascii="宋体" w:hAnsi="宋体" w:cs="宋体"/>
          <w:bCs/>
          <w:sz w:val="28"/>
          <w:szCs w:val="28"/>
        </w:rPr>
      </w:pPr>
      <w:r>
        <w:rPr>
          <w:rFonts w:hint="eastAsia" w:ascii="宋体" w:hAnsi="宋体" w:cs="宋体"/>
          <w:sz w:val="28"/>
          <w:szCs w:val="28"/>
        </w:rPr>
        <w:t>参展商及其委托的服务商如未能遵守展会规定所造成无法正常开通或及时维修展馆设施设备的，须承担相关赔偿责任。</w:t>
      </w:r>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3.7</w:t>
      </w:r>
      <w:r>
        <w:rPr>
          <w:rFonts w:hint="eastAsia" w:ascii="宋体" w:hAnsi="宋体" w:cs="宋体"/>
          <w:b/>
          <w:sz w:val="28"/>
          <w:szCs w:val="28"/>
          <w:lang w:val="en-US" w:eastAsia="zh-CN"/>
        </w:rPr>
        <w:t xml:space="preserve"> </w:t>
      </w:r>
      <w:r>
        <w:rPr>
          <w:rFonts w:hint="eastAsia" w:ascii="宋体" w:hAnsi="宋体" w:cs="宋体"/>
          <w:b/>
          <w:sz w:val="28"/>
          <w:szCs w:val="28"/>
        </w:rPr>
        <w:t>摄影及录像</w:t>
      </w:r>
    </w:p>
    <w:p>
      <w:pPr>
        <w:pStyle w:val="17"/>
        <w:ind w:firstLine="560"/>
        <w:rPr>
          <w:rFonts w:ascii="宋体" w:hAnsi="宋体" w:cs="宋体"/>
          <w:sz w:val="28"/>
          <w:szCs w:val="28"/>
        </w:rPr>
      </w:pPr>
      <w:r>
        <w:rPr>
          <w:rFonts w:hint="eastAsia" w:ascii="宋体" w:hAnsi="宋体" w:cs="宋体"/>
          <w:sz w:val="28"/>
          <w:szCs w:val="28"/>
        </w:rPr>
        <w:t>未经承办单位书面批准，参展商不可携带大型专业摄影器材入场；禁止参展商使用无人机、摇臂摄像机等进行摄录。</w:t>
      </w:r>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3.8</w:t>
      </w:r>
      <w:r>
        <w:rPr>
          <w:rFonts w:hint="eastAsia" w:ascii="宋体" w:hAnsi="宋体" w:cs="宋体"/>
          <w:b/>
          <w:sz w:val="28"/>
          <w:szCs w:val="28"/>
          <w:lang w:val="en-US" w:eastAsia="zh-CN"/>
        </w:rPr>
        <w:t xml:space="preserve"> </w:t>
      </w:r>
      <w:r>
        <w:rPr>
          <w:rFonts w:hint="eastAsia" w:ascii="宋体" w:hAnsi="宋体" w:cs="宋体"/>
          <w:b/>
          <w:sz w:val="28"/>
          <w:szCs w:val="28"/>
        </w:rPr>
        <w:t>音量控制</w:t>
      </w:r>
    </w:p>
    <w:p>
      <w:pPr>
        <w:pStyle w:val="17"/>
        <w:ind w:firstLine="560"/>
        <w:rPr>
          <w:rFonts w:ascii="宋体" w:hAnsi="宋体" w:cs="宋体"/>
          <w:sz w:val="28"/>
          <w:szCs w:val="28"/>
        </w:rPr>
      </w:pPr>
      <w:r>
        <w:rPr>
          <w:rFonts w:hint="eastAsia" w:ascii="宋体" w:hAnsi="宋体" w:cs="宋体"/>
          <w:sz w:val="28"/>
          <w:szCs w:val="28"/>
        </w:rPr>
        <w:t>展会规定各展台进行展品演示时的设备运转音量最大为70分贝，允许在短时间内超过上限10-20分贝；获得承办单位批准的特别演出，允许在短时间内超过上限20分贝。</w:t>
      </w:r>
      <w:bookmarkStart w:id="5" w:name="_Hlk513643791"/>
      <w:r>
        <w:rPr>
          <w:rFonts w:hint="eastAsia" w:ascii="宋体" w:hAnsi="宋体" w:cs="宋体"/>
          <w:sz w:val="28"/>
          <w:szCs w:val="28"/>
        </w:rPr>
        <w:t>如中国法律法规或其他规范标准有相关规定的，以其规定为准。</w:t>
      </w:r>
    </w:p>
    <w:bookmarkEnd w:id="5"/>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w:t>
      </w:r>
      <w:r>
        <w:rPr>
          <w:rFonts w:ascii="宋体" w:hAnsi="宋体" w:cs="宋体"/>
          <w:b/>
          <w:sz w:val="28"/>
          <w:szCs w:val="28"/>
        </w:rPr>
        <w:t>.9</w:t>
      </w:r>
      <w:r>
        <w:rPr>
          <w:rFonts w:hint="eastAsia" w:ascii="宋体" w:hAnsi="宋体" w:cs="宋体"/>
          <w:b/>
          <w:sz w:val="28"/>
          <w:szCs w:val="28"/>
          <w:lang w:val="en-US" w:eastAsia="zh-CN"/>
        </w:rPr>
        <w:t xml:space="preserve"> </w:t>
      </w:r>
      <w:r>
        <w:rPr>
          <w:rFonts w:hint="eastAsia" w:ascii="宋体" w:hAnsi="宋体" w:cs="宋体"/>
          <w:b/>
          <w:sz w:val="28"/>
          <w:szCs w:val="28"/>
        </w:rPr>
        <w:t>展场清洁</w:t>
      </w:r>
    </w:p>
    <w:p>
      <w:pPr>
        <w:numPr>
          <w:ilvl w:val="0"/>
          <w:numId w:val="9"/>
        </w:numPr>
        <w:rPr>
          <w:rFonts w:ascii="宋体" w:hAnsi="宋体" w:cs="宋体"/>
          <w:sz w:val="28"/>
          <w:szCs w:val="28"/>
        </w:rPr>
      </w:pPr>
      <w:r>
        <w:rPr>
          <w:rFonts w:hint="eastAsia" w:ascii="宋体" w:hAnsi="宋体" w:cs="宋体"/>
          <w:sz w:val="28"/>
          <w:szCs w:val="28"/>
        </w:rPr>
        <w:t>展会期间，展馆公共区域的清洁工作由承办单位负责；参展商须做好自身展台的清洁工作，包括展台内部及展品的清洁，请在每天闭馆离开前将垃圾留在展馆门外垃圾存放点。</w:t>
      </w:r>
    </w:p>
    <w:p>
      <w:pPr>
        <w:numPr>
          <w:ilvl w:val="0"/>
          <w:numId w:val="9"/>
        </w:numPr>
        <w:rPr>
          <w:rFonts w:ascii="宋体" w:hAnsi="宋体" w:cs="宋体"/>
          <w:sz w:val="28"/>
          <w:szCs w:val="28"/>
        </w:rPr>
      </w:pPr>
      <w:r>
        <w:rPr>
          <w:rFonts w:hint="eastAsia" w:ascii="宋体" w:hAnsi="宋体" w:cs="宋体"/>
          <w:sz w:val="28"/>
          <w:szCs w:val="28"/>
        </w:rPr>
        <w:t>废弃液体、餐饮排污及非常温液体等须倾倒在展馆指定地点或自备的密闭容器内，不得在展馆室内外展沟、地沟、卫生间洗脸池或水池内倾倒任何垃圾；如有违反，参展商或其搭建商将承担由此造成的污染清理、水管堵塞等费用，以及承担相应的行政处罚和由此产生的其他相关责任。</w:t>
      </w:r>
    </w:p>
    <w:p>
      <w:pPr>
        <w:numPr>
          <w:ilvl w:val="0"/>
          <w:numId w:val="9"/>
        </w:numPr>
        <w:rPr>
          <w:rFonts w:ascii="宋体" w:hAnsi="宋体" w:cs="宋体"/>
          <w:sz w:val="28"/>
          <w:szCs w:val="28"/>
        </w:rPr>
      </w:pPr>
      <w:r>
        <w:rPr>
          <w:rFonts w:hint="eastAsia" w:ascii="宋体" w:hAnsi="宋体" w:cs="宋体"/>
          <w:sz w:val="28"/>
          <w:szCs w:val="28"/>
        </w:rPr>
        <w:t>展会期间如需额外清洁服务的，可提前向承办单位申请。具体请详见附表4：《临时保洁申请表》。</w:t>
      </w:r>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3.10 货品存储</w:t>
      </w:r>
    </w:p>
    <w:p>
      <w:pPr>
        <w:pStyle w:val="17"/>
        <w:ind w:firstLine="560"/>
        <w:rPr>
          <w:rFonts w:ascii="宋体" w:hAnsi="宋体" w:cs="宋体"/>
          <w:sz w:val="28"/>
          <w:szCs w:val="28"/>
        </w:rPr>
      </w:pPr>
      <w:r>
        <w:rPr>
          <w:rFonts w:hint="eastAsia" w:ascii="宋体" w:hAnsi="宋体" w:cs="宋体"/>
          <w:sz w:val="28"/>
          <w:szCs w:val="28"/>
        </w:rPr>
        <w:t>存储或运输展品的各类箱体及</w:t>
      </w:r>
      <w:r>
        <w:rPr>
          <w:rFonts w:hint="eastAsia" w:ascii="宋体" w:hAnsi="宋体"/>
          <w:sz w:val="28"/>
        </w:rPr>
        <w:t>包装材料</w:t>
      </w:r>
      <w:r>
        <w:rPr>
          <w:rFonts w:hint="eastAsia" w:ascii="宋体" w:hAnsi="宋体" w:cs="宋体"/>
          <w:sz w:val="28"/>
          <w:szCs w:val="28"/>
        </w:rPr>
        <w:t>不得存储在展馆内部；参展商须预先通过展会指定的主场运输服务商安排、存放上述物品。具体请详见本手册《展品运输》。</w:t>
      </w:r>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3.11 安全保卫</w:t>
      </w:r>
    </w:p>
    <w:p>
      <w:pPr>
        <w:pStyle w:val="17"/>
        <w:keepNext w:val="0"/>
        <w:keepLines w:val="0"/>
        <w:pageBreakBefore w:val="0"/>
        <w:widowControl w:val="0"/>
        <w:numPr>
          <w:ilvl w:val="0"/>
          <w:numId w:val="10"/>
        </w:numPr>
        <w:kinsoku/>
        <w:wordWrap/>
        <w:overflowPunct/>
        <w:topLinePunct w:val="0"/>
        <w:autoSpaceDE/>
        <w:autoSpaceDN/>
        <w:bidi w:val="0"/>
        <w:adjustRightInd/>
        <w:snapToGrid/>
        <w:ind w:left="425" w:hanging="425" w:firstLineChars="0"/>
        <w:textAlignment w:val="auto"/>
        <w:outlineLvl w:val="9"/>
        <w:rPr>
          <w:rFonts w:ascii="宋体" w:hAnsi="宋体" w:cs="宋体"/>
          <w:sz w:val="28"/>
          <w:szCs w:val="28"/>
        </w:rPr>
      </w:pPr>
      <w:r>
        <w:rPr>
          <w:rFonts w:hint="eastAsia" w:ascii="宋体" w:hAnsi="宋体" w:cs="宋体"/>
          <w:sz w:val="28"/>
          <w:szCs w:val="28"/>
        </w:rPr>
        <w:t>展会期间请妥善保管好展品及个人财物，手提电脑必须使用防盗锁，谨防失窃；如有遗失，可及时上报至承办单位。</w:t>
      </w:r>
    </w:p>
    <w:p>
      <w:pPr>
        <w:pStyle w:val="17"/>
        <w:keepNext w:val="0"/>
        <w:keepLines w:val="0"/>
        <w:pageBreakBefore w:val="0"/>
        <w:widowControl w:val="0"/>
        <w:numPr>
          <w:ilvl w:val="0"/>
          <w:numId w:val="10"/>
        </w:numPr>
        <w:kinsoku/>
        <w:wordWrap/>
        <w:overflowPunct/>
        <w:topLinePunct w:val="0"/>
        <w:autoSpaceDE/>
        <w:autoSpaceDN/>
        <w:bidi w:val="0"/>
        <w:adjustRightInd/>
        <w:snapToGrid/>
        <w:ind w:left="425" w:hanging="425" w:firstLineChars="0"/>
        <w:textAlignment w:val="auto"/>
        <w:outlineLvl w:val="9"/>
        <w:rPr>
          <w:rFonts w:ascii="宋体" w:hAnsi="宋体" w:cs="宋体"/>
          <w:sz w:val="28"/>
          <w:szCs w:val="28"/>
        </w:rPr>
      </w:pPr>
      <w:r>
        <w:rPr>
          <w:rFonts w:hint="eastAsia" w:ascii="宋体" w:hAnsi="宋体" w:cs="宋体"/>
          <w:sz w:val="28"/>
          <w:szCs w:val="28"/>
        </w:rPr>
        <w:t>请在每日闭馆前对贵重展品及物品采取有效的保护措施，妥善保管，必要时做好数量核对。</w:t>
      </w:r>
    </w:p>
    <w:p>
      <w:pPr>
        <w:pStyle w:val="17"/>
        <w:keepNext w:val="0"/>
        <w:keepLines w:val="0"/>
        <w:pageBreakBefore w:val="0"/>
        <w:widowControl w:val="0"/>
        <w:numPr>
          <w:ilvl w:val="0"/>
          <w:numId w:val="10"/>
        </w:numPr>
        <w:kinsoku/>
        <w:wordWrap/>
        <w:overflowPunct/>
        <w:topLinePunct w:val="0"/>
        <w:autoSpaceDE/>
        <w:autoSpaceDN/>
        <w:bidi w:val="0"/>
        <w:adjustRightInd/>
        <w:snapToGrid/>
        <w:ind w:left="425" w:hanging="425" w:firstLineChars="0"/>
        <w:textAlignment w:val="auto"/>
        <w:outlineLvl w:val="9"/>
        <w:rPr>
          <w:rFonts w:ascii="宋体" w:hAnsi="宋体" w:cs="宋体"/>
          <w:sz w:val="28"/>
          <w:szCs w:val="28"/>
        </w:rPr>
      </w:pPr>
      <w:r>
        <w:rPr>
          <w:rFonts w:hint="eastAsia" w:ascii="宋体" w:hAnsi="宋体" w:cs="宋体"/>
          <w:sz w:val="28"/>
          <w:szCs w:val="28"/>
        </w:rPr>
        <w:t>参展商如需额外配备安保人员的，可填写申请，经承办单位审核、批准后予以派驻，相关费用由参展商自行承担。具体请详见附表5：《临时保安申请表》。</w:t>
      </w:r>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3.12 责任及保险</w:t>
      </w:r>
    </w:p>
    <w:p>
      <w:pPr>
        <w:pStyle w:val="17"/>
        <w:keepNext w:val="0"/>
        <w:keepLines w:val="0"/>
        <w:pageBreakBefore w:val="0"/>
        <w:widowControl w:val="0"/>
        <w:numPr>
          <w:ilvl w:val="0"/>
          <w:numId w:val="11"/>
        </w:numPr>
        <w:kinsoku/>
        <w:wordWrap/>
        <w:overflowPunct/>
        <w:topLinePunct w:val="0"/>
        <w:autoSpaceDE/>
        <w:autoSpaceDN/>
        <w:bidi w:val="0"/>
        <w:adjustRightInd/>
        <w:snapToGrid/>
        <w:ind w:left="425" w:hanging="425" w:firstLineChars="0"/>
        <w:textAlignment w:val="auto"/>
        <w:outlineLvl w:val="9"/>
        <w:rPr>
          <w:rFonts w:ascii="宋体" w:hAnsi="宋体"/>
          <w:sz w:val="28"/>
        </w:rPr>
      </w:pPr>
      <w:r>
        <w:rPr>
          <w:rFonts w:hint="eastAsia" w:ascii="宋体" w:hAnsi="宋体"/>
          <w:sz w:val="28"/>
        </w:rPr>
        <w:t>为保障展会期间安全，参展商</w:t>
      </w:r>
      <w:r>
        <w:rPr>
          <w:rFonts w:hint="eastAsia" w:ascii="宋体" w:hAnsi="宋体" w:cs="宋体"/>
          <w:sz w:val="28"/>
          <w:szCs w:val="28"/>
        </w:rPr>
        <w:t>须</w:t>
      </w:r>
      <w:r>
        <w:rPr>
          <w:rFonts w:hint="eastAsia" w:ascii="宋体" w:hAnsi="宋体"/>
          <w:sz w:val="28"/>
        </w:rPr>
        <w:t>为其工作人员、财产等投保</w:t>
      </w:r>
      <w:r>
        <w:rPr>
          <w:rFonts w:hint="eastAsia" w:ascii="宋体" w:hAnsi="宋体" w:cs="宋体"/>
          <w:sz w:val="28"/>
          <w:szCs w:val="28"/>
        </w:rPr>
        <w:t>,</w:t>
      </w:r>
      <w:r>
        <w:rPr>
          <w:rFonts w:hint="eastAsia" w:ascii="宋体" w:hAnsi="宋体"/>
          <w:sz w:val="28"/>
        </w:rPr>
        <w:t>同时责成其委托的服务商购买</w:t>
      </w:r>
      <w:r>
        <w:rPr>
          <w:rFonts w:hint="eastAsia" w:ascii="宋体" w:hAnsi="宋体" w:cs="宋体"/>
          <w:sz w:val="28"/>
          <w:szCs w:val="28"/>
        </w:rPr>
        <w:t>有关人身、财产等</w:t>
      </w:r>
      <w:r>
        <w:rPr>
          <w:rFonts w:hint="eastAsia" w:ascii="宋体" w:hAnsi="宋体"/>
          <w:sz w:val="28"/>
        </w:rPr>
        <w:t>保险</w:t>
      </w:r>
      <w:r>
        <w:rPr>
          <w:rFonts w:hint="eastAsia" w:ascii="宋体" w:hAnsi="宋体" w:cs="宋体"/>
          <w:sz w:val="28"/>
          <w:szCs w:val="28"/>
        </w:rPr>
        <w:t>。</w:t>
      </w:r>
      <w:r>
        <w:rPr>
          <w:rFonts w:hint="eastAsia" w:ascii="宋体" w:hAnsi="宋体"/>
          <w:sz w:val="28"/>
        </w:rPr>
        <w:t>否则，参展商须自行承担相关责任及损失。</w:t>
      </w:r>
    </w:p>
    <w:p>
      <w:pPr>
        <w:pStyle w:val="17"/>
        <w:keepNext w:val="0"/>
        <w:keepLines w:val="0"/>
        <w:pageBreakBefore w:val="0"/>
        <w:widowControl w:val="0"/>
        <w:numPr>
          <w:ilvl w:val="0"/>
          <w:numId w:val="11"/>
        </w:numPr>
        <w:kinsoku/>
        <w:wordWrap/>
        <w:overflowPunct/>
        <w:topLinePunct w:val="0"/>
        <w:autoSpaceDE/>
        <w:autoSpaceDN/>
        <w:bidi w:val="0"/>
        <w:adjustRightInd/>
        <w:snapToGrid/>
        <w:ind w:left="425" w:hanging="425" w:firstLineChars="0"/>
        <w:textAlignment w:val="auto"/>
        <w:outlineLvl w:val="9"/>
        <w:rPr>
          <w:rFonts w:ascii="宋体" w:hAnsi="宋体"/>
          <w:sz w:val="28"/>
        </w:rPr>
      </w:pPr>
      <w:r>
        <w:rPr>
          <w:rFonts w:hint="eastAsia" w:ascii="宋体" w:hAnsi="宋体"/>
          <w:sz w:val="28"/>
        </w:rPr>
        <w:t>参展商须为其参展的展品购买全程运输保险及财产保险，包括从出发地到展台（含展期）</w:t>
      </w:r>
      <w:r>
        <w:rPr>
          <w:rFonts w:hint="eastAsia" w:ascii="宋体" w:hAnsi="宋体" w:cs="宋体"/>
          <w:sz w:val="28"/>
          <w:szCs w:val="28"/>
        </w:rPr>
        <w:t>再</w:t>
      </w:r>
      <w:r>
        <w:rPr>
          <w:rFonts w:hint="eastAsia" w:ascii="宋体" w:hAnsi="宋体"/>
          <w:sz w:val="28"/>
        </w:rPr>
        <w:t>回</w:t>
      </w:r>
      <w:r>
        <w:rPr>
          <w:rFonts w:hint="eastAsia" w:ascii="宋体" w:hAnsi="宋体" w:cs="宋体"/>
          <w:sz w:val="28"/>
          <w:szCs w:val="28"/>
        </w:rPr>
        <w:t>至</w:t>
      </w:r>
      <w:r>
        <w:rPr>
          <w:rFonts w:hint="eastAsia" w:ascii="宋体" w:hAnsi="宋体"/>
          <w:sz w:val="28"/>
        </w:rPr>
        <w:t>出发地。</w:t>
      </w:r>
    </w:p>
    <w:p>
      <w:pPr>
        <w:pStyle w:val="17"/>
        <w:keepNext w:val="0"/>
        <w:keepLines w:val="0"/>
        <w:pageBreakBefore w:val="0"/>
        <w:widowControl w:val="0"/>
        <w:numPr>
          <w:ilvl w:val="0"/>
          <w:numId w:val="11"/>
        </w:numPr>
        <w:kinsoku/>
        <w:wordWrap/>
        <w:overflowPunct/>
        <w:topLinePunct w:val="0"/>
        <w:autoSpaceDE/>
        <w:autoSpaceDN/>
        <w:bidi w:val="0"/>
        <w:adjustRightInd/>
        <w:snapToGrid/>
        <w:ind w:left="425" w:hanging="425" w:firstLineChars="0"/>
        <w:textAlignment w:val="auto"/>
        <w:outlineLvl w:val="9"/>
        <w:rPr>
          <w:rFonts w:ascii="宋体" w:hAnsi="宋体"/>
          <w:sz w:val="28"/>
        </w:rPr>
      </w:pPr>
      <w:r>
        <w:rPr>
          <w:rFonts w:hint="eastAsia" w:ascii="宋体" w:hAnsi="宋体"/>
          <w:sz w:val="28"/>
        </w:rPr>
        <w:t>参展商应投保公众责任险，时效建议是从参展商、搭建商及服务商进入展馆开始，直到其所有人员、展品和财物从展馆撤出。</w:t>
      </w:r>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3.13 最终未能参展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sz w:val="28"/>
        </w:rPr>
      </w:pPr>
      <w:r>
        <w:rPr>
          <w:rFonts w:hint="eastAsia" w:ascii="宋体" w:hAnsi="宋体" w:cs="宋体"/>
          <w:sz w:val="28"/>
          <w:szCs w:val="28"/>
        </w:rPr>
        <w:t>参展商</w:t>
      </w:r>
      <w:r>
        <w:rPr>
          <w:rFonts w:hint="eastAsia" w:ascii="宋体" w:hAnsi="宋体"/>
          <w:sz w:val="28"/>
        </w:rPr>
        <w:t>签署</w:t>
      </w:r>
      <w:r>
        <w:rPr>
          <w:rFonts w:hint="eastAsia" w:ascii="宋体" w:hAnsi="宋体" w:cs="宋体"/>
          <w:sz w:val="28"/>
          <w:szCs w:val="28"/>
        </w:rPr>
        <w:t>《参展合同》后，</w:t>
      </w:r>
      <w:r>
        <w:rPr>
          <w:rFonts w:hint="eastAsia" w:ascii="宋体" w:hAnsi="宋体"/>
          <w:sz w:val="28"/>
        </w:rPr>
        <w:t>未</w:t>
      </w:r>
      <w:r>
        <w:rPr>
          <w:rFonts w:hint="eastAsia" w:ascii="宋体" w:hAnsi="宋体" w:cs="宋体"/>
          <w:sz w:val="28"/>
          <w:szCs w:val="28"/>
        </w:rPr>
        <w:t>征得</w:t>
      </w:r>
      <w:r>
        <w:rPr>
          <w:rFonts w:hint="eastAsia" w:ascii="宋体" w:hAnsi="宋体"/>
          <w:sz w:val="28"/>
        </w:rPr>
        <w:t>承办单位</w:t>
      </w:r>
      <w:r>
        <w:rPr>
          <w:rFonts w:hint="eastAsia" w:ascii="宋体" w:hAnsi="宋体" w:cs="宋体"/>
          <w:sz w:val="28"/>
          <w:szCs w:val="28"/>
        </w:rPr>
        <w:t>书面同意退出参展</w:t>
      </w:r>
      <w:r>
        <w:rPr>
          <w:rFonts w:hint="eastAsia" w:ascii="宋体" w:hAnsi="宋体"/>
          <w:sz w:val="28"/>
        </w:rPr>
        <w:t>的，</w:t>
      </w:r>
      <w:r>
        <w:rPr>
          <w:rFonts w:hint="eastAsia" w:ascii="宋体" w:hAnsi="宋体" w:cs="宋体"/>
          <w:sz w:val="28"/>
          <w:szCs w:val="28"/>
        </w:rPr>
        <w:t>已缴纳</w:t>
      </w:r>
      <w:r>
        <w:rPr>
          <w:rFonts w:hint="eastAsia" w:ascii="宋体" w:hAnsi="宋体"/>
          <w:sz w:val="28"/>
        </w:rPr>
        <w:t>的</w:t>
      </w:r>
      <w:r>
        <w:rPr>
          <w:rFonts w:hint="eastAsia" w:ascii="宋体" w:hAnsi="宋体" w:cs="宋体"/>
          <w:sz w:val="28"/>
          <w:szCs w:val="28"/>
        </w:rPr>
        <w:t>展位</w:t>
      </w:r>
      <w:r>
        <w:rPr>
          <w:rFonts w:hint="eastAsia" w:ascii="宋体" w:hAnsi="宋体"/>
          <w:sz w:val="28"/>
        </w:rPr>
        <w:t>费用</w:t>
      </w:r>
      <w:r>
        <w:rPr>
          <w:rFonts w:hint="eastAsia" w:ascii="宋体" w:hAnsi="宋体" w:cs="宋体"/>
          <w:sz w:val="28"/>
          <w:szCs w:val="28"/>
        </w:rPr>
        <w:t>以及其他费用概不退还，且</w:t>
      </w:r>
      <w:r>
        <w:rPr>
          <w:rFonts w:hint="eastAsia" w:ascii="宋体" w:hAnsi="宋体"/>
          <w:sz w:val="28"/>
        </w:rPr>
        <w:t>承办单位</w:t>
      </w:r>
      <w:r>
        <w:rPr>
          <w:rFonts w:hint="eastAsia" w:ascii="宋体" w:hAnsi="宋体" w:cs="宋体"/>
          <w:sz w:val="28"/>
          <w:szCs w:val="28"/>
        </w:rPr>
        <w:t>有权将相应的展位转给第三方；承办单位因此承担</w:t>
      </w:r>
      <w:r>
        <w:rPr>
          <w:rFonts w:hint="eastAsia" w:ascii="宋体" w:hAnsi="宋体"/>
          <w:sz w:val="28"/>
        </w:rPr>
        <w:t>额外费用</w:t>
      </w:r>
      <w:r>
        <w:rPr>
          <w:rFonts w:hint="eastAsia" w:ascii="宋体" w:hAnsi="宋体" w:cs="宋体"/>
          <w:sz w:val="28"/>
          <w:szCs w:val="28"/>
        </w:rPr>
        <w:t>的，参展单位应赔偿</w:t>
      </w:r>
      <w:r>
        <w:rPr>
          <w:rFonts w:hint="eastAsia" w:ascii="宋体" w:hAnsi="宋体"/>
          <w:sz w:val="28"/>
        </w:rPr>
        <w:t>。</w:t>
      </w:r>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3.14 知识产权保护</w:t>
      </w:r>
    </w:p>
    <w:p>
      <w:pPr>
        <w:pStyle w:val="17"/>
        <w:keepNext w:val="0"/>
        <w:keepLines w:val="0"/>
        <w:pageBreakBefore w:val="0"/>
        <w:widowControl w:val="0"/>
        <w:numPr>
          <w:ilvl w:val="0"/>
          <w:numId w:val="12"/>
        </w:numPr>
        <w:kinsoku/>
        <w:wordWrap/>
        <w:overflowPunct/>
        <w:topLinePunct w:val="0"/>
        <w:autoSpaceDE/>
        <w:autoSpaceDN/>
        <w:bidi w:val="0"/>
        <w:adjustRightInd/>
        <w:snapToGrid/>
        <w:ind w:left="425" w:hanging="425" w:firstLineChars="0"/>
        <w:jc w:val="both"/>
        <w:textAlignment w:val="auto"/>
        <w:outlineLvl w:val="9"/>
        <w:rPr>
          <w:rFonts w:ascii="宋体" w:hAnsi="宋体"/>
          <w:sz w:val="28"/>
        </w:rPr>
      </w:pPr>
      <w:r>
        <w:rPr>
          <w:rFonts w:ascii="宋体" w:hAnsi="宋体"/>
          <w:sz w:val="28"/>
        </w:rPr>
        <w:t>参展商应</w:t>
      </w:r>
      <w:r>
        <w:rPr>
          <w:rFonts w:hint="eastAsia" w:ascii="宋体" w:hAnsi="宋体"/>
          <w:sz w:val="28"/>
        </w:rPr>
        <w:t>在展前和展中加强对</w:t>
      </w:r>
      <w:r>
        <w:rPr>
          <w:rFonts w:ascii="宋体" w:hAnsi="宋体"/>
          <w:sz w:val="28"/>
        </w:rPr>
        <w:t>其展品、</w:t>
      </w:r>
      <w:r>
        <w:rPr>
          <w:rFonts w:ascii="宋体" w:hAnsi="宋体" w:cs="宋体"/>
          <w:sz w:val="28"/>
          <w:szCs w:val="28"/>
        </w:rPr>
        <w:t>展位设计、</w:t>
      </w:r>
      <w:r>
        <w:rPr>
          <w:rFonts w:ascii="宋体" w:hAnsi="宋体"/>
          <w:sz w:val="28"/>
        </w:rPr>
        <w:t>包装</w:t>
      </w:r>
      <w:r>
        <w:rPr>
          <w:rFonts w:hint="eastAsia" w:ascii="宋体" w:hAnsi="宋体"/>
          <w:sz w:val="28"/>
        </w:rPr>
        <w:t>、</w:t>
      </w:r>
      <w:r>
        <w:rPr>
          <w:rFonts w:ascii="宋体" w:hAnsi="宋体"/>
          <w:sz w:val="28"/>
        </w:rPr>
        <w:t>广告宣传材料</w:t>
      </w:r>
      <w:r>
        <w:rPr>
          <w:rFonts w:hint="eastAsia" w:ascii="宋体" w:hAnsi="宋体"/>
          <w:sz w:val="28"/>
        </w:rPr>
        <w:t>及其他任何展示部分的自查自纠，防止涉嫌侵犯知识产权的行为发生</w:t>
      </w:r>
      <w:r>
        <w:rPr>
          <w:rFonts w:ascii="宋体" w:hAnsi="宋体"/>
          <w:sz w:val="28"/>
        </w:rPr>
        <w:t>。</w:t>
      </w:r>
    </w:p>
    <w:p>
      <w:pPr>
        <w:pStyle w:val="17"/>
        <w:keepNext w:val="0"/>
        <w:keepLines w:val="0"/>
        <w:pageBreakBefore w:val="0"/>
        <w:widowControl w:val="0"/>
        <w:numPr>
          <w:ilvl w:val="0"/>
          <w:numId w:val="12"/>
        </w:numPr>
        <w:kinsoku/>
        <w:wordWrap/>
        <w:overflowPunct/>
        <w:topLinePunct w:val="0"/>
        <w:autoSpaceDE/>
        <w:autoSpaceDN/>
        <w:bidi w:val="0"/>
        <w:adjustRightInd/>
        <w:snapToGrid/>
        <w:ind w:left="425" w:hanging="425" w:firstLineChars="0"/>
        <w:jc w:val="both"/>
        <w:textAlignment w:val="auto"/>
        <w:outlineLvl w:val="9"/>
        <w:rPr>
          <w:rFonts w:ascii="宋体" w:hAnsi="宋体"/>
          <w:sz w:val="28"/>
        </w:rPr>
      </w:pPr>
      <w:r>
        <w:rPr>
          <w:rFonts w:ascii="宋体" w:hAnsi="宋体"/>
          <w:sz w:val="28"/>
        </w:rPr>
        <w:t>承办单位将在展会现场设立</w:t>
      </w:r>
      <w:r>
        <w:rPr>
          <w:rFonts w:hint="eastAsia" w:ascii="宋体" w:hAnsi="宋体"/>
          <w:sz w:val="28"/>
        </w:rPr>
        <w:t>知识产权保护及贸易纠纷处理</w:t>
      </w:r>
      <w:bookmarkStart w:id="6" w:name="_Hlk513637527"/>
      <w:r>
        <w:rPr>
          <w:rFonts w:hint="eastAsia" w:ascii="宋体" w:hAnsi="宋体"/>
          <w:sz w:val="28"/>
        </w:rPr>
        <w:t>服务</w:t>
      </w:r>
      <w:bookmarkEnd w:id="6"/>
      <w:r>
        <w:rPr>
          <w:rFonts w:hint="eastAsia" w:ascii="宋体" w:hAnsi="宋体"/>
          <w:sz w:val="28"/>
        </w:rPr>
        <w:t>中心</w:t>
      </w:r>
      <w:r>
        <w:rPr>
          <w:rFonts w:ascii="宋体" w:hAnsi="宋体"/>
          <w:sz w:val="28"/>
        </w:rPr>
        <w:t>，为各国参展商、专业采购商提供相关法律咨询与调处服务</w:t>
      </w:r>
      <w:r>
        <w:rPr>
          <w:rFonts w:hint="eastAsia" w:ascii="宋体" w:hAnsi="宋体"/>
          <w:sz w:val="28"/>
        </w:rPr>
        <w:t>。</w:t>
      </w:r>
    </w:p>
    <w:p>
      <w:pPr>
        <w:pStyle w:val="17"/>
        <w:keepNext w:val="0"/>
        <w:keepLines w:val="0"/>
        <w:pageBreakBefore w:val="0"/>
        <w:widowControl w:val="0"/>
        <w:numPr>
          <w:ilvl w:val="0"/>
          <w:numId w:val="12"/>
        </w:numPr>
        <w:kinsoku/>
        <w:wordWrap/>
        <w:overflowPunct/>
        <w:topLinePunct w:val="0"/>
        <w:autoSpaceDE/>
        <w:autoSpaceDN/>
        <w:bidi w:val="0"/>
        <w:adjustRightInd/>
        <w:snapToGrid/>
        <w:ind w:left="425" w:hanging="425" w:firstLineChars="0"/>
        <w:jc w:val="both"/>
        <w:textAlignment w:val="auto"/>
        <w:outlineLvl w:val="9"/>
        <w:rPr>
          <w:rFonts w:ascii="宋体" w:hAnsi="宋体"/>
          <w:sz w:val="28"/>
        </w:rPr>
      </w:pPr>
      <w:r>
        <w:rPr>
          <w:rFonts w:ascii="宋体" w:hAnsi="宋体"/>
          <w:sz w:val="28"/>
        </w:rPr>
        <w:t>参展商</w:t>
      </w:r>
      <w:r>
        <w:rPr>
          <w:rFonts w:hint="eastAsia" w:ascii="宋体" w:hAnsi="宋体"/>
          <w:sz w:val="28"/>
        </w:rPr>
        <w:t>应遵守</w:t>
      </w:r>
      <w:r>
        <w:rPr>
          <w:rFonts w:hint="eastAsia" w:ascii="宋体" w:hAnsi="宋体" w:cs="宋体"/>
          <w:sz w:val="28"/>
          <w:szCs w:val="28"/>
        </w:rPr>
        <w:t>《中国国际进口博览会关于涉嫌侵犯知识产权的投诉及处理办法》</w:t>
      </w:r>
      <w:r>
        <w:rPr>
          <w:rFonts w:hint="eastAsia" w:ascii="宋体" w:hAnsi="宋体"/>
          <w:sz w:val="28"/>
        </w:rPr>
        <w:t>并</w:t>
      </w:r>
      <w:r>
        <w:rPr>
          <w:rFonts w:ascii="宋体" w:hAnsi="宋体"/>
          <w:sz w:val="28"/>
        </w:rPr>
        <w:t>积极配合</w:t>
      </w:r>
      <w:r>
        <w:rPr>
          <w:rFonts w:hint="eastAsia" w:ascii="宋体" w:hAnsi="宋体"/>
          <w:sz w:val="28"/>
        </w:rPr>
        <w:t>知识产权保护及贸易纠纷处理服务中心</w:t>
      </w:r>
      <w:r>
        <w:rPr>
          <w:rFonts w:ascii="宋体" w:hAnsi="宋体"/>
          <w:sz w:val="28"/>
        </w:rPr>
        <w:t>的工作</w:t>
      </w:r>
      <w:r>
        <w:rPr>
          <w:rFonts w:hint="eastAsia" w:ascii="宋体" w:hAnsi="宋体"/>
          <w:sz w:val="28"/>
        </w:rPr>
        <w:t>，相关办法将于后续公布</w:t>
      </w:r>
      <w:r>
        <w:rPr>
          <w:rFonts w:ascii="宋体" w:hAnsi="宋体"/>
          <w:sz w:val="28"/>
        </w:rPr>
        <w:t>。</w:t>
      </w:r>
    </w:p>
    <w:p>
      <w:pPr>
        <w:pStyle w:val="17"/>
        <w:keepNext w:val="0"/>
        <w:keepLines w:val="0"/>
        <w:pageBreakBefore w:val="0"/>
        <w:widowControl w:val="0"/>
        <w:numPr>
          <w:ilvl w:val="0"/>
          <w:numId w:val="12"/>
        </w:numPr>
        <w:kinsoku/>
        <w:wordWrap/>
        <w:overflowPunct/>
        <w:topLinePunct w:val="0"/>
        <w:autoSpaceDE/>
        <w:autoSpaceDN/>
        <w:bidi w:val="0"/>
        <w:adjustRightInd/>
        <w:snapToGrid/>
        <w:ind w:left="425" w:hanging="425" w:firstLineChars="0"/>
        <w:jc w:val="both"/>
        <w:textAlignment w:val="auto"/>
        <w:outlineLvl w:val="9"/>
        <w:rPr>
          <w:rFonts w:ascii="宋体" w:hAnsi="宋体" w:cs="宋体"/>
          <w:sz w:val="28"/>
          <w:szCs w:val="28"/>
        </w:rPr>
      </w:pPr>
      <w:r>
        <w:rPr>
          <w:rFonts w:ascii="宋体" w:hAnsi="宋体"/>
          <w:sz w:val="28"/>
        </w:rPr>
        <w:t>参展商的展品、展位设计、包装和广告宣传材料若因知识产权侵权而遭到相关部门处理，应按中华人民共和国法律法</w:t>
      </w:r>
      <w:r>
        <w:rPr>
          <w:rFonts w:ascii="宋体" w:hAnsi="宋体" w:cs="宋体"/>
          <w:sz w:val="28"/>
          <w:szCs w:val="28"/>
        </w:rPr>
        <w:t>规自行承担损失。</w:t>
      </w:r>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3.15 不可抗力</w:t>
      </w:r>
    </w:p>
    <w:p>
      <w:pPr>
        <w:ind w:firstLine="560" w:firstLineChars="200"/>
        <w:rPr>
          <w:rFonts w:ascii="宋体" w:hAnsi="宋体"/>
          <w:sz w:val="28"/>
        </w:rPr>
      </w:pPr>
      <w:r>
        <w:rPr>
          <w:rFonts w:hint="eastAsia" w:ascii="宋体" w:hAnsi="宋体"/>
          <w:sz w:val="28"/>
        </w:rPr>
        <w:t>由于</w:t>
      </w:r>
      <w:r>
        <w:rPr>
          <w:rFonts w:hint="eastAsia" w:ascii="宋体" w:hAnsi="宋体" w:cs="宋体"/>
          <w:sz w:val="28"/>
          <w:szCs w:val="28"/>
        </w:rPr>
        <w:t>地震、台风、水灾、</w:t>
      </w:r>
      <w:r>
        <w:rPr>
          <w:rFonts w:hint="eastAsia" w:ascii="宋体" w:hAnsi="宋体"/>
          <w:sz w:val="28"/>
        </w:rPr>
        <w:t>火灾、</w:t>
      </w:r>
      <w:r>
        <w:rPr>
          <w:rFonts w:hint="eastAsia" w:ascii="宋体" w:hAnsi="宋体" w:cs="宋体"/>
          <w:sz w:val="28"/>
          <w:szCs w:val="28"/>
        </w:rPr>
        <w:t>战争、瘟疫、社会骚乱、罢工、示威游行、恐怖活动或威胁、进口限制、</w:t>
      </w:r>
      <w:r>
        <w:rPr>
          <w:rFonts w:hint="eastAsia" w:ascii="宋体" w:hAnsi="宋体"/>
          <w:sz w:val="28"/>
        </w:rPr>
        <w:t>政府</w:t>
      </w:r>
      <w:r>
        <w:rPr>
          <w:rFonts w:hint="eastAsia" w:ascii="宋体" w:hAnsi="宋体" w:cs="宋体"/>
          <w:sz w:val="28"/>
          <w:szCs w:val="28"/>
        </w:rPr>
        <w:t>干预及其他承办单位不可预见、不可克服并对其发生和后果不能防止或避免的事件，使展会不能如期举办</w:t>
      </w:r>
      <w:r>
        <w:rPr>
          <w:rFonts w:hint="eastAsia" w:ascii="宋体" w:hAnsi="宋体"/>
          <w:sz w:val="28"/>
        </w:rPr>
        <w:t>的</w:t>
      </w:r>
      <w:r>
        <w:rPr>
          <w:rFonts w:hint="eastAsia" w:ascii="宋体" w:hAnsi="宋体" w:cs="宋体"/>
          <w:sz w:val="28"/>
          <w:szCs w:val="28"/>
        </w:rPr>
        <w:t>或如期举办将使履行成本过高，因此取消展会或延迟展会时间的，承办单位将在该事件发生后立即通知参展单位</w:t>
      </w:r>
      <w:r>
        <w:rPr>
          <w:rFonts w:hint="eastAsia" w:ascii="宋体" w:hAnsi="宋体"/>
          <w:sz w:val="28"/>
        </w:rPr>
        <w:t>；在上述情况下，承办单位不会退还参展商已付的全部或部分款项</w:t>
      </w:r>
      <w:r>
        <w:rPr>
          <w:rFonts w:hint="eastAsia" w:ascii="宋体" w:hAnsi="宋体" w:cs="宋体"/>
          <w:sz w:val="28"/>
          <w:szCs w:val="28"/>
        </w:rPr>
        <w:t>，亦无需承担任何违约责任</w:t>
      </w:r>
      <w:r>
        <w:rPr>
          <w:rFonts w:hint="eastAsia" w:ascii="宋体" w:hAnsi="宋体"/>
          <w:sz w:val="28"/>
        </w:rPr>
        <w:t>。</w:t>
      </w:r>
    </w:p>
    <w:p>
      <w:pPr>
        <w:pStyle w:val="9"/>
        <w:widowControl/>
        <w:spacing w:before="0" w:beforeAutospacing="0" w:after="0" w:afterAutospacing="0"/>
        <w:jc w:val="both"/>
        <w:rPr>
          <w:rFonts w:hint="eastAsia" w:ascii="宋体" w:hAnsi="宋体" w:eastAsia="宋体" w:cs="宋体"/>
          <w:sz w:val="28"/>
          <w:szCs w:val="28"/>
          <w:lang w:val="en-US" w:eastAsia="zh-CN"/>
        </w:rPr>
      </w:pPr>
      <w:r>
        <w:rPr>
          <w:rFonts w:hint="eastAsia" w:ascii="宋体" w:hAnsi="宋体" w:cs="宋体"/>
          <w:b/>
          <w:sz w:val="28"/>
          <w:szCs w:val="28"/>
        </w:rPr>
        <w:t>3.16 展品运输</w:t>
      </w:r>
      <w:r>
        <w:rPr>
          <w:rFonts w:hint="eastAsia" w:ascii="宋体" w:hAnsi="宋体" w:cs="宋体"/>
          <w:b/>
          <w:sz w:val="28"/>
          <w:szCs w:val="28"/>
          <w:lang w:val="en-US" w:eastAsia="zh-CN"/>
        </w:rPr>
        <w:t xml:space="preserve"> </w:t>
      </w:r>
      <w:r>
        <w:rPr>
          <w:rFonts w:hint="eastAsia" w:ascii="宋体" w:hAnsi="宋体" w:cs="宋体"/>
          <w:sz w:val="28"/>
          <w:szCs w:val="28"/>
          <w:lang w:val="en-US" w:eastAsia="zh-CN"/>
        </w:rPr>
        <w:t xml:space="preserve"> </w:t>
      </w:r>
    </w:p>
    <w:p>
      <w:pPr>
        <w:pStyle w:val="17"/>
        <w:keepNext w:val="0"/>
        <w:keepLines w:val="0"/>
        <w:pageBreakBefore w:val="0"/>
        <w:widowControl w:val="0"/>
        <w:numPr>
          <w:ilvl w:val="0"/>
          <w:numId w:val="13"/>
        </w:numPr>
        <w:kinsoku/>
        <w:wordWrap/>
        <w:overflowPunct/>
        <w:topLinePunct w:val="0"/>
        <w:autoSpaceDE/>
        <w:autoSpaceDN/>
        <w:bidi w:val="0"/>
        <w:adjustRightInd/>
        <w:snapToGrid/>
        <w:ind w:left="425" w:leftChars="0" w:hanging="425" w:firstLineChars="0"/>
        <w:textAlignment w:val="auto"/>
        <w:outlineLvl w:val="9"/>
        <w:rPr>
          <w:rFonts w:hint="eastAsia" w:ascii="宋体" w:hAnsi="宋体"/>
          <w:sz w:val="28"/>
        </w:rPr>
      </w:pPr>
      <w:r>
        <w:rPr>
          <w:rFonts w:hint="eastAsia" w:ascii="宋体" w:hAnsi="宋体"/>
          <w:sz w:val="28"/>
          <w:lang w:val="en-US" w:eastAsia="zh-CN"/>
        </w:rPr>
        <w:t>展品运输的车辆、时间及路线安排均由展会指定的主场运输服务        商提供，</w:t>
      </w:r>
      <w:r>
        <w:rPr>
          <w:rFonts w:hint="eastAsia" w:ascii="宋体" w:hAnsi="宋体"/>
          <w:sz w:val="28"/>
        </w:rPr>
        <w:t>相关咨询与服务请参展商提前联系、申报；如因未使用展会指定的主场运输服务商而造成的展品延误、服务差错或纠纷，承办单位不承担任何责任和损失。具体请详见本手册《展品运输》。</w:t>
      </w:r>
    </w:p>
    <w:p>
      <w:pPr>
        <w:pStyle w:val="17"/>
        <w:keepNext w:val="0"/>
        <w:keepLines w:val="0"/>
        <w:pageBreakBefore w:val="0"/>
        <w:widowControl w:val="0"/>
        <w:numPr>
          <w:ilvl w:val="0"/>
          <w:numId w:val="13"/>
        </w:numPr>
        <w:kinsoku/>
        <w:wordWrap/>
        <w:overflowPunct/>
        <w:topLinePunct w:val="0"/>
        <w:autoSpaceDE/>
        <w:autoSpaceDN/>
        <w:bidi w:val="0"/>
        <w:adjustRightInd/>
        <w:snapToGrid/>
        <w:ind w:left="425" w:leftChars="0" w:hanging="425" w:firstLineChars="0"/>
        <w:textAlignment w:val="auto"/>
        <w:outlineLvl w:val="9"/>
        <w:rPr>
          <w:rFonts w:hint="eastAsia" w:ascii="宋体" w:hAnsi="宋体"/>
          <w:sz w:val="28"/>
        </w:rPr>
      </w:pPr>
      <w:bookmarkStart w:id="7" w:name="_Hlk513645317"/>
      <w:r>
        <w:rPr>
          <w:rFonts w:hint="eastAsia" w:ascii="宋体" w:hAnsi="宋体"/>
          <w:sz w:val="28"/>
        </w:rPr>
        <w:t>根据中国海关检验检疫的管制要求，如展品因涉及禁止清单或限制清单中相关的品类而导致无法入境或及时进行展示的，相关责任由参展商全权承担，与承办单位无关。承办单位将尽其所能，将相关的政策信息第一时间在展会官网中进行公布。请参展商随时注意官网相关内容的更新</w:t>
      </w:r>
      <w:bookmarkEnd w:id="7"/>
      <w:r>
        <w:rPr>
          <w:rFonts w:hint="eastAsia" w:ascii="宋体" w:hAnsi="宋体"/>
          <w:sz w:val="28"/>
        </w:rPr>
        <w:t>。</w:t>
      </w:r>
    </w:p>
    <w:p>
      <w:pPr>
        <w:pStyle w:val="9"/>
        <w:widowControl/>
        <w:spacing w:before="0" w:beforeAutospacing="0" w:after="0" w:afterAutospacing="0"/>
        <w:jc w:val="both"/>
        <w:rPr>
          <w:rFonts w:ascii="宋体" w:hAnsi="宋体" w:cs="宋体"/>
          <w:b/>
          <w:sz w:val="28"/>
          <w:szCs w:val="28"/>
        </w:rPr>
      </w:pPr>
      <w:r>
        <w:rPr>
          <w:rFonts w:hint="eastAsia" w:ascii="宋体" w:hAnsi="宋体" w:cs="宋体"/>
          <w:b/>
          <w:sz w:val="28"/>
          <w:szCs w:val="28"/>
        </w:rPr>
        <w:t>3.17 最终解释权</w:t>
      </w:r>
    </w:p>
    <w:p>
      <w:pPr>
        <w:pStyle w:val="9"/>
        <w:widowControl/>
        <w:spacing w:before="0" w:beforeAutospacing="0" w:after="0" w:afterAutospacing="0"/>
        <w:ind w:firstLine="560" w:firstLineChars="200"/>
        <w:jc w:val="both"/>
        <w:rPr>
          <w:rFonts w:ascii="宋体" w:hAnsi="宋体" w:cs="宋体"/>
          <w:sz w:val="28"/>
          <w:szCs w:val="28"/>
        </w:rPr>
      </w:pPr>
      <w:r>
        <w:rPr>
          <w:rFonts w:hint="eastAsia" w:ascii="宋体" w:hAnsi="宋体" w:cs="宋体"/>
          <w:sz w:val="28"/>
          <w:szCs w:val="28"/>
        </w:rPr>
        <w:t>承办单位保留对本《参展商手册》的最终解释权。</w:t>
      </w:r>
    </w:p>
    <w:p>
      <w:pPr>
        <w:widowControl/>
        <w:jc w:val="left"/>
        <w:rPr>
          <w:rFonts w:ascii="宋体" w:hAnsi="宋体" w:cs="宋体"/>
          <w:kern w:val="0"/>
          <w:sz w:val="28"/>
          <w:szCs w:val="28"/>
        </w:rPr>
      </w:pPr>
    </w:p>
    <w:p>
      <w:pPr>
        <w:widowControl/>
        <w:jc w:val="left"/>
        <w:rPr>
          <w:rFonts w:ascii="宋体" w:hAnsi="宋体"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lbertus Medium">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29442"/>
    <w:multiLevelType w:val="singleLevel"/>
    <w:tmpl w:val="52F29442"/>
    <w:lvl w:ilvl="0" w:tentative="0">
      <w:start w:val="1"/>
      <w:numFmt w:val="decimal"/>
      <w:lvlText w:val="%1."/>
      <w:lvlJc w:val="left"/>
      <w:pPr>
        <w:ind w:left="425" w:hanging="425"/>
      </w:pPr>
      <w:rPr>
        <w:rFonts w:hint="default"/>
      </w:rPr>
    </w:lvl>
  </w:abstractNum>
  <w:abstractNum w:abstractNumId="1">
    <w:nsid w:val="5A406310"/>
    <w:multiLevelType w:val="singleLevel"/>
    <w:tmpl w:val="5A406310"/>
    <w:lvl w:ilvl="0" w:tentative="0">
      <w:start w:val="2"/>
      <w:numFmt w:val="chineseCounting"/>
      <w:suff w:val="nothing"/>
      <w:lvlText w:val="第%1部"/>
      <w:lvlJc w:val="left"/>
    </w:lvl>
  </w:abstractNum>
  <w:abstractNum w:abstractNumId="2">
    <w:nsid w:val="5A4064BC"/>
    <w:multiLevelType w:val="singleLevel"/>
    <w:tmpl w:val="5A4064BC"/>
    <w:lvl w:ilvl="0" w:tentative="0">
      <w:start w:val="2"/>
      <w:numFmt w:val="decimal"/>
      <w:suff w:val="space"/>
      <w:lvlText w:val="%1."/>
      <w:lvlJc w:val="left"/>
    </w:lvl>
  </w:abstractNum>
  <w:abstractNum w:abstractNumId="3">
    <w:nsid w:val="5A4ED589"/>
    <w:multiLevelType w:val="singleLevel"/>
    <w:tmpl w:val="5A4ED589"/>
    <w:lvl w:ilvl="0" w:tentative="0">
      <w:start w:val="1"/>
      <w:numFmt w:val="decimal"/>
      <w:lvlText w:val="%1."/>
      <w:lvlJc w:val="left"/>
      <w:pPr>
        <w:ind w:left="425" w:hanging="425"/>
      </w:pPr>
      <w:rPr>
        <w:rFonts w:hint="default"/>
        <w:b w:val="0"/>
      </w:rPr>
    </w:lvl>
  </w:abstractNum>
  <w:abstractNum w:abstractNumId="4">
    <w:nsid w:val="5A4ED5BC"/>
    <w:multiLevelType w:val="singleLevel"/>
    <w:tmpl w:val="5A4ED5BC"/>
    <w:lvl w:ilvl="0" w:tentative="0">
      <w:start w:val="1"/>
      <w:numFmt w:val="decimal"/>
      <w:lvlText w:val="%1."/>
      <w:lvlJc w:val="left"/>
      <w:pPr>
        <w:ind w:left="425" w:hanging="425"/>
      </w:pPr>
      <w:rPr>
        <w:rFonts w:hint="default"/>
      </w:rPr>
    </w:lvl>
  </w:abstractNum>
  <w:abstractNum w:abstractNumId="5">
    <w:nsid w:val="5A4ED8EB"/>
    <w:multiLevelType w:val="multilevel"/>
    <w:tmpl w:val="5A4ED8EB"/>
    <w:lvl w:ilvl="0" w:tentative="0">
      <w:start w:val="1"/>
      <w:numFmt w:val="decimal"/>
      <w:lvlText w:val="%1."/>
      <w:lvlJc w:val="left"/>
      <w:pPr>
        <w:ind w:left="425" w:hanging="425"/>
      </w:pPr>
      <w:rPr>
        <w:rFonts w:hint="default"/>
      </w:rPr>
    </w:lvl>
    <w:lvl w:ilvl="1" w:tentative="0">
      <w:start w:val="9"/>
      <w:numFmt w:val="decimal"/>
      <w:isLgl/>
      <w:lvlText w:val="%1.%2"/>
      <w:lvlJc w:val="left"/>
      <w:pPr>
        <w:ind w:left="840" w:hanging="720"/>
      </w:pPr>
      <w:rPr>
        <w:rFonts w:hint="default"/>
      </w:rPr>
    </w:lvl>
    <w:lvl w:ilvl="2" w:tentative="0">
      <w:start w:val="1"/>
      <w:numFmt w:val="decimal"/>
      <w:isLgl/>
      <w:lvlText w:val="%1.%2.%3"/>
      <w:lvlJc w:val="left"/>
      <w:pPr>
        <w:ind w:left="96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920" w:hanging="1440"/>
      </w:pPr>
      <w:rPr>
        <w:rFonts w:hint="default"/>
      </w:rPr>
    </w:lvl>
    <w:lvl w:ilvl="5" w:tentative="0">
      <w:start w:val="1"/>
      <w:numFmt w:val="decimal"/>
      <w:isLgl/>
      <w:lvlText w:val="%1.%2.%3.%4.%5.%6"/>
      <w:lvlJc w:val="left"/>
      <w:pPr>
        <w:ind w:left="2400" w:hanging="1800"/>
      </w:pPr>
      <w:rPr>
        <w:rFonts w:hint="default"/>
      </w:rPr>
    </w:lvl>
    <w:lvl w:ilvl="6" w:tentative="0">
      <w:start w:val="1"/>
      <w:numFmt w:val="decimal"/>
      <w:isLgl/>
      <w:lvlText w:val="%1.%2.%3.%4.%5.%6.%7"/>
      <w:lvlJc w:val="left"/>
      <w:pPr>
        <w:ind w:left="2880" w:hanging="2160"/>
      </w:pPr>
      <w:rPr>
        <w:rFonts w:hint="default"/>
      </w:rPr>
    </w:lvl>
    <w:lvl w:ilvl="7" w:tentative="0">
      <w:start w:val="1"/>
      <w:numFmt w:val="decimal"/>
      <w:isLgl/>
      <w:lvlText w:val="%1.%2.%3.%4.%5.%6.%7.%8"/>
      <w:lvlJc w:val="left"/>
      <w:pPr>
        <w:ind w:left="3000" w:hanging="2160"/>
      </w:pPr>
      <w:rPr>
        <w:rFonts w:hint="default"/>
      </w:rPr>
    </w:lvl>
    <w:lvl w:ilvl="8" w:tentative="0">
      <w:start w:val="1"/>
      <w:numFmt w:val="decimal"/>
      <w:isLgl/>
      <w:lvlText w:val="%1.%2.%3.%4.%5.%6.%7.%8.%9"/>
      <w:lvlJc w:val="left"/>
      <w:pPr>
        <w:ind w:left="3480" w:hanging="2520"/>
      </w:pPr>
      <w:rPr>
        <w:rFonts w:hint="default"/>
      </w:rPr>
    </w:lvl>
  </w:abstractNum>
  <w:abstractNum w:abstractNumId="6">
    <w:nsid w:val="5A4ED90A"/>
    <w:multiLevelType w:val="singleLevel"/>
    <w:tmpl w:val="5A4ED90A"/>
    <w:lvl w:ilvl="0" w:tentative="0">
      <w:start w:val="1"/>
      <w:numFmt w:val="decimal"/>
      <w:lvlText w:val="%1."/>
      <w:lvlJc w:val="left"/>
      <w:pPr>
        <w:ind w:left="425" w:hanging="425"/>
      </w:pPr>
      <w:rPr>
        <w:rFonts w:hint="default"/>
      </w:rPr>
    </w:lvl>
  </w:abstractNum>
  <w:abstractNum w:abstractNumId="7">
    <w:nsid w:val="5A4ED934"/>
    <w:multiLevelType w:val="singleLevel"/>
    <w:tmpl w:val="5A4ED934"/>
    <w:lvl w:ilvl="0" w:tentative="0">
      <w:start w:val="1"/>
      <w:numFmt w:val="decimal"/>
      <w:lvlText w:val="%1."/>
      <w:lvlJc w:val="left"/>
      <w:pPr>
        <w:ind w:left="425" w:hanging="425"/>
      </w:pPr>
      <w:rPr>
        <w:rFonts w:hint="default"/>
      </w:rPr>
    </w:lvl>
  </w:abstractNum>
  <w:abstractNum w:abstractNumId="8">
    <w:nsid w:val="5A4ED94F"/>
    <w:multiLevelType w:val="singleLevel"/>
    <w:tmpl w:val="5A4ED94F"/>
    <w:lvl w:ilvl="0" w:tentative="0">
      <w:start w:val="1"/>
      <w:numFmt w:val="decimal"/>
      <w:lvlText w:val="%1."/>
      <w:lvlJc w:val="left"/>
      <w:pPr>
        <w:ind w:left="425" w:hanging="425"/>
      </w:pPr>
      <w:rPr>
        <w:rFonts w:hint="default"/>
      </w:rPr>
    </w:lvl>
  </w:abstractNum>
  <w:abstractNum w:abstractNumId="9">
    <w:nsid w:val="5A4ED9B3"/>
    <w:multiLevelType w:val="multilevel"/>
    <w:tmpl w:val="5A4ED9B3"/>
    <w:lvl w:ilvl="0" w:tentative="0">
      <w:start w:val="1"/>
      <w:numFmt w:val="decimal"/>
      <w:lvlText w:val="%1."/>
      <w:lvlJc w:val="left"/>
      <w:pPr>
        <w:ind w:left="425" w:hanging="425"/>
      </w:pPr>
      <w:rPr>
        <w:rFonts w:hint="default"/>
      </w:rPr>
    </w:lvl>
    <w:lvl w:ilvl="1" w:tentative="0">
      <w:start w:val="14"/>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10">
    <w:nsid w:val="5A4EDA23"/>
    <w:multiLevelType w:val="multilevel"/>
    <w:tmpl w:val="5A4EDA23"/>
    <w:lvl w:ilvl="0" w:tentative="0">
      <w:start w:val="1"/>
      <w:numFmt w:val="decimal"/>
      <w:lvlText w:val="%1."/>
      <w:lvlJc w:val="left"/>
      <w:pPr>
        <w:ind w:left="425" w:hanging="425"/>
      </w:pPr>
      <w:rPr>
        <w:rFonts w:hint="default"/>
      </w:rPr>
    </w:lvl>
    <w:lvl w:ilvl="1" w:tentative="0">
      <w:start w:val="14"/>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11">
    <w:nsid w:val="5A4EDA40"/>
    <w:multiLevelType w:val="singleLevel"/>
    <w:tmpl w:val="5A4EDA40"/>
    <w:lvl w:ilvl="0" w:tentative="0">
      <w:start w:val="1"/>
      <w:numFmt w:val="decimal"/>
      <w:lvlText w:val="%1."/>
      <w:lvlJc w:val="left"/>
      <w:pPr>
        <w:ind w:left="425" w:hanging="425"/>
      </w:pPr>
      <w:rPr>
        <w:rFonts w:hint="default"/>
      </w:rPr>
    </w:lvl>
  </w:abstractNum>
  <w:abstractNum w:abstractNumId="12">
    <w:nsid w:val="5A4EDA6C"/>
    <w:multiLevelType w:val="singleLevel"/>
    <w:tmpl w:val="5A4EDA6C"/>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24E6"/>
    <w:rsid w:val="00024EE5"/>
    <w:rsid w:val="000521F4"/>
    <w:rsid w:val="0007281E"/>
    <w:rsid w:val="000E3A4D"/>
    <w:rsid w:val="000F6EBB"/>
    <w:rsid w:val="001B168A"/>
    <w:rsid w:val="001B230E"/>
    <w:rsid w:val="001C7091"/>
    <w:rsid w:val="001E57CE"/>
    <w:rsid w:val="002020D3"/>
    <w:rsid w:val="002170E8"/>
    <w:rsid w:val="00221DED"/>
    <w:rsid w:val="00235216"/>
    <w:rsid w:val="00244E99"/>
    <w:rsid w:val="00292219"/>
    <w:rsid w:val="002E0536"/>
    <w:rsid w:val="002F2C63"/>
    <w:rsid w:val="00305203"/>
    <w:rsid w:val="00324E57"/>
    <w:rsid w:val="00331054"/>
    <w:rsid w:val="00336693"/>
    <w:rsid w:val="0037162A"/>
    <w:rsid w:val="00380EF9"/>
    <w:rsid w:val="003A2691"/>
    <w:rsid w:val="003A4C4C"/>
    <w:rsid w:val="003F24E6"/>
    <w:rsid w:val="00416BFF"/>
    <w:rsid w:val="00416FDC"/>
    <w:rsid w:val="00433FAD"/>
    <w:rsid w:val="004352AA"/>
    <w:rsid w:val="00455058"/>
    <w:rsid w:val="00477A7C"/>
    <w:rsid w:val="0048642D"/>
    <w:rsid w:val="004908BB"/>
    <w:rsid w:val="0049695C"/>
    <w:rsid w:val="004C2001"/>
    <w:rsid w:val="004C2B70"/>
    <w:rsid w:val="004D4468"/>
    <w:rsid w:val="00517843"/>
    <w:rsid w:val="00532C81"/>
    <w:rsid w:val="00544BF9"/>
    <w:rsid w:val="00544CE3"/>
    <w:rsid w:val="00553F5F"/>
    <w:rsid w:val="005753E0"/>
    <w:rsid w:val="005F0E60"/>
    <w:rsid w:val="006319E0"/>
    <w:rsid w:val="006D2952"/>
    <w:rsid w:val="0071312B"/>
    <w:rsid w:val="00714180"/>
    <w:rsid w:val="007756D0"/>
    <w:rsid w:val="00781EC8"/>
    <w:rsid w:val="00782646"/>
    <w:rsid w:val="007A4CFB"/>
    <w:rsid w:val="007B41F9"/>
    <w:rsid w:val="007F60C3"/>
    <w:rsid w:val="00817A3E"/>
    <w:rsid w:val="0084377A"/>
    <w:rsid w:val="008553C0"/>
    <w:rsid w:val="00861E48"/>
    <w:rsid w:val="00871B80"/>
    <w:rsid w:val="008723E8"/>
    <w:rsid w:val="008A6FA6"/>
    <w:rsid w:val="008C2AB6"/>
    <w:rsid w:val="008E22DD"/>
    <w:rsid w:val="0091504F"/>
    <w:rsid w:val="00974C4F"/>
    <w:rsid w:val="009850CC"/>
    <w:rsid w:val="009D7424"/>
    <w:rsid w:val="009F46E8"/>
    <w:rsid w:val="00A42093"/>
    <w:rsid w:val="00A86953"/>
    <w:rsid w:val="00A86C29"/>
    <w:rsid w:val="00A94037"/>
    <w:rsid w:val="00AB1E11"/>
    <w:rsid w:val="00AB72FE"/>
    <w:rsid w:val="00AD332A"/>
    <w:rsid w:val="00AE3EC4"/>
    <w:rsid w:val="00B07510"/>
    <w:rsid w:val="00B23A65"/>
    <w:rsid w:val="00B46324"/>
    <w:rsid w:val="00B609C3"/>
    <w:rsid w:val="00B62492"/>
    <w:rsid w:val="00B83F59"/>
    <w:rsid w:val="00BA5BD7"/>
    <w:rsid w:val="00C03DBC"/>
    <w:rsid w:val="00C1768B"/>
    <w:rsid w:val="00C32645"/>
    <w:rsid w:val="00C3563D"/>
    <w:rsid w:val="00C56437"/>
    <w:rsid w:val="00C77E0F"/>
    <w:rsid w:val="00C877CA"/>
    <w:rsid w:val="00CA0513"/>
    <w:rsid w:val="00CA7A6C"/>
    <w:rsid w:val="00CB33DA"/>
    <w:rsid w:val="00CF21C1"/>
    <w:rsid w:val="00D101E4"/>
    <w:rsid w:val="00D15444"/>
    <w:rsid w:val="00D313E8"/>
    <w:rsid w:val="00D369F8"/>
    <w:rsid w:val="00D64785"/>
    <w:rsid w:val="00D810D3"/>
    <w:rsid w:val="00DA5153"/>
    <w:rsid w:val="00DB6A2E"/>
    <w:rsid w:val="00DD4BEC"/>
    <w:rsid w:val="00DE065F"/>
    <w:rsid w:val="00DE54C3"/>
    <w:rsid w:val="00DF26DB"/>
    <w:rsid w:val="00DF4332"/>
    <w:rsid w:val="00E04D80"/>
    <w:rsid w:val="00E13C96"/>
    <w:rsid w:val="00E16EA6"/>
    <w:rsid w:val="00E250D3"/>
    <w:rsid w:val="00E27C66"/>
    <w:rsid w:val="00E52D6C"/>
    <w:rsid w:val="00E62643"/>
    <w:rsid w:val="00E70551"/>
    <w:rsid w:val="00E7394F"/>
    <w:rsid w:val="00EB6CEB"/>
    <w:rsid w:val="00EB742A"/>
    <w:rsid w:val="00ED60C4"/>
    <w:rsid w:val="00EF1320"/>
    <w:rsid w:val="00F00A57"/>
    <w:rsid w:val="00F061A0"/>
    <w:rsid w:val="00F16BE9"/>
    <w:rsid w:val="00F25F4D"/>
    <w:rsid w:val="00F340F7"/>
    <w:rsid w:val="00F46845"/>
    <w:rsid w:val="00F51806"/>
    <w:rsid w:val="00F71883"/>
    <w:rsid w:val="01B80574"/>
    <w:rsid w:val="217C3B44"/>
    <w:rsid w:val="3768146B"/>
    <w:rsid w:val="3AEB7F29"/>
    <w:rsid w:val="47302566"/>
    <w:rsid w:val="67211AC8"/>
    <w:rsid w:val="6A7D4235"/>
    <w:rsid w:val="6B217048"/>
    <w:rsid w:val="6B8C04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2"/>
    <w:semiHidden/>
    <w:unhideWhenUsed/>
    <w:qFormat/>
    <w:uiPriority w:val="99"/>
    <w:rPr>
      <w:rFonts w:eastAsia="宋体" w:cs="Times New Roman"/>
      <w:b/>
      <w:bCs/>
    </w:rPr>
  </w:style>
  <w:style w:type="paragraph" w:styleId="3">
    <w:name w:val="annotation text"/>
    <w:basedOn w:val="1"/>
    <w:link w:val="14"/>
    <w:qFormat/>
    <w:uiPriority w:val="0"/>
    <w:pPr>
      <w:jc w:val="left"/>
    </w:pPr>
    <w:rPr>
      <w:rFonts w:eastAsiaTheme="minorEastAsia" w:cstheme="minorBidi"/>
    </w:rPr>
  </w:style>
  <w:style w:type="paragraph" w:styleId="4">
    <w:name w:val="Body Text 3"/>
    <w:basedOn w:val="1"/>
    <w:link w:val="19"/>
    <w:qFormat/>
    <w:uiPriority w:val="0"/>
    <w:pPr>
      <w:widowControl/>
      <w:spacing w:after="120"/>
      <w:jc w:val="left"/>
    </w:pPr>
    <w:rPr>
      <w:rFonts w:ascii="Albertus Medium" w:hAnsi="Albertus Medium"/>
      <w:kern w:val="0"/>
      <w:sz w:val="16"/>
      <w:szCs w:val="16"/>
      <w:lang w:eastAsia="zh-TW"/>
    </w:rPr>
  </w:style>
  <w:style w:type="paragraph" w:styleId="5">
    <w:name w:val="Balloon Text"/>
    <w:basedOn w:val="1"/>
    <w:link w:val="18"/>
    <w:semiHidden/>
    <w:unhideWhenUsed/>
    <w:qFormat/>
    <w:uiPriority w:val="99"/>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0"/>
    <w:qFormat/>
    <w:uiPriority w:val="0"/>
    <w:pPr>
      <w:widowControl/>
      <w:spacing w:after="120"/>
      <w:ind w:left="360"/>
      <w:jc w:val="left"/>
    </w:pPr>
    <w:rPr>
      <w:rFonts w:ascii="Albertus Medium" w:hAnsi="Albertus Medium"/>
      <w:kern w:val="0"/>
      <w:sz w:val="16"/>
      <w:szCs w:val="16"/>
      <w:lang w:eastAsia="zh-TW"/>
    </w:rPr>
  </w:style>
  <w:style w:type="paragraph" w:styleId="9">
    <w:name w:val="Normal (Web)"/>
    <w:basedOn w:val="1"/>
    <w:qFormat/>
    <w:uiPriority w:val="0"/>
    <w:pPr>
      <w:spacing w:before="100" w:beforeAutospacing="1" w:after="100" w:afterAutospacing="1"/>
      <w:jc w:val="left"/>
    </w:pPr>
    <w:rPr>
      <w:kern w:val="0"/>
      <w:sz w:val="24"/>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4">
    <w:name w:val="批注文字 Char"/>
    <w:basedOn w:val="10"/>
    <w:link w:val="3"/>
    <w:qFormat/>
    <w:uiPriority w:val="0"/>
    <w:rPr>
      <w:rFonts w:ascii="Calibri" w:hAnsi="Calibri"/>
      <w:szCs w:val="24"/>
    </w:rPr>
  </w:style>
  <w:style w:type="character" w:customStyle="1" w:styleId="15">
    <w:name w:val="批注文字 Char1"/>
    <w:basedOn w:val="10"/>
    <w:semiHidden/>
    <w:qFormat/>
    <w:uiPriority w:val="99"/>
    <w:rPr>
      <w:rFonts w:ascii="Calibri" w:hAnsi="Calibri" w:eastAsia="宋体" w:cs="Times New Roman"/>
      <w:szCs w:val="24"/>
    </w:rPr>
  </w:style>
  <w:style w:type="paragraph" w:styleId="16">
    <w:name w:val="List Paragraph"/>
    <w:basedOn w:val="1"/>
    <w:qFormat/>
    <w:uiPriority w:val="34"/>
    <w:pPr>
      <w:ind w:firstLine="420" w:firstLineChars="200"/>
    </w:pPr>
  </w:style>
  <w:style w:type="paragraph" w:customStyle="1" w:styleId="17">
    <w:name w:val="彩色列表1"/>
    <w:basedOn w:val="1"/>
    <w:qFormat/>
    <w:uiPriority w:val="34"/>
    <w:pPr>
      <w:ind w:firstLine="420" w:firstLineChars="200"/>
    </w:pPr>
  </w:style>
  <w:style w:type="character" w:customStyle="1" w:styleId="18">
    <w:name w:val="批注框文本 Char"/>
    <w:basedOn w:val="10"/>
    <w:link w:val="5"/>
    <w:semiHidden/>
    <w:qFormat/>
    <w:uiPriority w:val="99"/>
    <w:rPr>
      <w:rFonts w:ascii="Calibri" w:hAnsi="Calibri" w:eastAsia="宋体" w:cs="Times New Roman"/>
      <w:sz w:val="18"/>
      <w:szCs w:val="18"/>
    </w:rPr>
  </w:style>
  <w:style w:type="character" w:customStyle="1" w:styleId="19">
    <w:name w:val="正文文本 3 Char"/>
    <w:basedOn w:val="10"/>
    <w:link w:val="4"/>
    <w:qFormat/>
    <w:uiPriority w:val="0"/>
    <w:rPr>
      <w:rFonts w:ascii="Albertus Medium" w:hAnsi="Albertus Medium" w:eastAsia="宋体" w:cs="Times New Roman"/>
      <w:kern w:val="0"/>
      <w:sz w:val="16"/>
      <w:szCs w:val="16"/>
      <w:lang w:eastAsia="zh-TW"/>
    </w:rPr>
  </w:style>
  <w:style w:type="character" w:customStyle="1" w:styleId="20">
    <w:name w:val="正文文本缩进 3 Char"/>
    <w:basedOn w:val="10"/>
    <w:link w:val="8"/>
    <w:qFormat/>
    <w:uiPriority w:val="0"/>
    <w:rPr>
      <w:rFonts w:ascii="Albertus Medium" w:hAnsi="Albertus Medium" w:eastAsia="宋体" w:cs="Times New Roman"/>
      <w:kern w:val="0"/>
      <w:sz w:val="16"/>
      <w:szCs w:val="16"/>
      <w:lang w:eastAsia="zh-TW"/>
    </w:rPr>
  </w:style>
  <w:style w:type="paragraph" w:customStyle="1" w:styleId="21">
    <w:name w:val="列出段落1"/>
    <w:basedOn w:val="1"/>
    <w:qFormat/>
    <w:uiPriority w:val="0"/>
    <w:pPr>
      <w:ind w:firstLine="420" w:firstLineChars="200"/>
    </w:pPr>
  </w:style>
  <w:style w:type="character" w:customStyle="1" w:styleId="22">
    <w:name w:val="批注主题 Char"/>
    <w:basedOn w:val="14"/>
    <w:link w:val="2"/>
    <w:semiHidden/>
    <w:qFormat/>
    <w:uiPriority w:val="99"/>
    <w:rPr>
      <w:rFonts w:ascii="Calibri" w:hAnsi="Calibri" w:eastAsia="宋体" w:cs="Times New Roman"/>
      <w:b/>
      <w:bCs/>
      <w:szCs w:val="24"/>
    </w:rPr>
  </w:style>
  <w:style w:type="paragraph" w:customStyle="1" w:styleId="23">
    <w:name w:val="Revision"/>
    <w:hidden/>
    <w:semiHidden/>
    <w:qFormat/>
    <w:uiPriority w:val="99"/>
    <w:rPr>
      <w:rFonts w:ascii="Calibri" w:hAnsi="Calibri" w:eastAsia="宋体" w:cs="Times New Roman"/>
      <w:kern w:val="2"/>
      <w:sz w:val="21"/>
      <w:szCs w:val="24"/>
      <w:lang w:val="en-US" w:eastAsia="zh-CN" w:bidi="ar-SA"/>
    </w:rPr>
  </w:style>
  <w:style w:type="character" w:customStyle="1" w:styleId="24">
    <w:name w:val="页眉 Char"/>
    <w:basedOn w:val="10"/>
    <w:link w:val="7"/>
    <w:qFormat/>
    <w:uiPriority w:val="99"/>
    <w:rPr>
      <w:rFonts w:ascii="Calibri" w:hAnsi="Calibri" w:eastAsia="宋体" w:cs="Times New Roman"/>
      <w:sz w:val="18"/>
      <w:szCs w:val="18"/>
    </w:rPr>
  </w:style>
  <w:style w:type="character" w:customStyle="1" w:styleId="25">
    <w:name w:val="页脚 Char"/>
    <w:basedOn w:val="10"/>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93B58-F9D5-4DB9-A163-A20CD39F801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666</Words>
  <Characters>3800</Characters>
  <Lines>31</Lines>
  <Paragraphs>8</Paragraphs>
  <TotalTime>27</TotalTime>
  <ScaleCrop>false</ScaleCrop>
  <LinksUpToDate>false</LinksUpToDate>
  <CharactersWithSpaces>4458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2018-05-09T03:32:00Z</dcterms:created>
  <dc:creator>Administrator</dc:creator>
  <cp:lastModifiedBy>GZJH</cp:lastModifiedBy>
  <cp:lastPrinted>2018-05-15T02:51:00Z</cp:lastPrinted>
  <dcterms:modified xsi:type="dcterms:W3CDTF">2018-07-03T02:47:36Z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