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eastAsia="宋体"/>
          <w:b/>
          <w:bCs/>
          <w:i/>
          <w:sz w:val="28"/>
          <w:szCs w:val="28"/>
          <w:lang w:eastAsia="zh-CN"/>
        </w:rPr>
      </w:pPr>
      <w:r>
        <w:rPr>
          <w:b/>
          <w:bCs/>
          <w:i/>
          <w:sz w:val="28"/>
          <w:szCs w:val="28"/>
        </w:rPr>
        <w:t xml:space="preserve">Exhibitor’s Manual for China International Import </w:t>
      </w:r>
      <w:r>
        <w:rPr>
          <w:rFonts w:hint="eastAsia"/>
          <w:b/>
          <w:bCs/>
          <w:i/>
          <w:sz w:val="28"/>
          <w:szCs w:val="28"/>
          <w:lang w:eastAsia="zh-CN"/>
        </w:rPr>
        <w:t>Expo</w:t>
      </w:r>
    </w:p>
    <w:p>
      <w:pPr>
        <w:widowControl/>
        <w:spacing w:line="400" w:lineRule="exac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Enterprise</w:t>
      </w:r>
      <w:r>
        <w:rPr>
          <w:b/>
          <w:sz w:val="28"/>
          <w:szCs w:val="28"/>
        </w:rPr>
        <w:t xml:space="preserve"> &amp; Business Exhibition</w:t>
      </w:r>
    </w:p>
    <w:p>
      <w:pPr>
        <w:pStyle w:val="3"/>
        <w:widowControl/>
        <w:spacing w:before="0" w:beforeAutospacing="0" w:after="0" w:afterAutospacing="0" w:line="400" w:lineRule="exact"/>
        <w:jc w:val="center"/>
        <w:rPr>
          <w:rFonts w:hAnsi="Times New Roman"/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Part III  Booth Design and Setup</w:t>
      </w:r>
    </w:p>
    <w:p>
      <w:pPr>
        <w:pStyle w:val="3"/>
        <w:widowControl/>
        <w:numPr>
          <w:ilvl w:val="0"/>
          <w:numId w:val="1"/>
        </w:numPr>
        <w:spacing w:before="0" w:beforeAutospacing="0" w:after="0" w:afterAutospacing="0"/>
        <w:rPr>
          <w:rFonts w:hAnsi="Times New Roman"/>
          <w:b/>
          <w:bCs/>
          <w:sz w:val="21"/>
          <w:szCs w:val="21"/>
          <w:lang w:eastAsia="zh-CN"/>
        </w:rPr>
      </w:pPr>
      <w:r>
        <w:rPr>
          <w:rFonts w:hAnsi="Times New Roman"/>
          <w:b/>
          <w:sz w:val="21"/>
          <w:szCs w:val="21"/>
        </w:rPr>
        <w:t xml:space="preserve"> Official Constructor</w:t>
      </w:r>
      <w:r>
        <w:rPr>
          <w:rFonts w:hAnsi="Times New Roman"/>
          <w:b/>
          <w:sz w:val="21"/>
          <w:szCs w:val="21"/>
          <w:lang w:eastAsia="zh-CN"/>
        </w:rPr>
        <w:t>s</w:t>
      </w:r>
    </w:p>
    <w:tbl>
      <w:tblPr>
        <w:tblStyle w:val="6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3339"/>
        <w:gridCol w:w="2736"/>
        <w:gridCol w:w="3430"/>
        <w:gridCol w:w="28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sz w:val="20"/>
                <w:szCs w:val="21"/>
                <w:lang w:eastAsia="zh-CN"/>
              </w:rPr>
              <w:t xml:space="preserve">Responsible </w:t>
            </w:r>
            <w:r>
              <w:rPr>
                <w:sz w:val="20"/>
                <w:szCs w:val="21"/>
              </w:rPr>
              <w:t>Area</w:t>
            </w:r>
            <w:r>
              <w:rPr>
                <w:sz w:val="20"/>
                <w:szCs w:val="21"/>
                <w:lang w:eastAsia="zh-CN"/>
              </w:rPr>
              <w:t>:</w:t>
            </w:r>
          </w:p>
        </w:tc>
        <w:tc>
          <w:tcPr>
            <w:tcW w:w="3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sz w:val="20"/>
                <w:szCs w:val="21"/>
                <w:lang w:eastAsia="zh-CN"/>
              </w:rPr>
              <w:t>7.1H/7.2H/8.2H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sz w:val="20"/>
                <w:szCs w:val="21"/>
                <w:lang w:eastAsia="zh-CN"/>
              </w:rPr>
              <w:t>3H/4.1H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sz w:val="20"/>
                <w:szCs w:val="21"/>
                <w:lang w:eastAsia="zh-CN"/>
              </w:rPr>
              <w:t>5.1H/5.2H/6.1H</w:t>
            </w:r>
          </w:p>
        </w:tc>
        <w:tc>
          <w:tcPr>
            <w:tcW w:w="2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sz w:val="20"/>
                <w:szCs w:val="21"/>
                <w:lang w:eastAsia="zh-CN"/>
              </w:rPr>
              <w:t>1H/2H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sz w:val="20"/>
                <w:szCs w:val="21"/>
                <w:lang w:eastAsia="zh-CN"/>
              </w:rPr>
              <w:t xml:space="preserve">Chinese </w:t>
            </w:r>
            <w:r>
              <w:rPr>
                <w:sz w:val="20"/>
                <w:szCs w:val="21"/>
              </w:rPr>
              <w:t>Name</w:t>
            </w:r>
            <w:r>
              <w:rPr>
                <w:sz w:val="20"/>
                <w:szCs w:val="21"/>
                <w:lang w:eastAsia="zh-CN"/>
              </w:rPr>
              <w:t>: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eastAsia="zh-CN"/>
              </w:rPr>
              <w:t>北京华毅东方展览有限公司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eastAsia="zh-CN"/>
              </w:rPr>
              <w:t>上海鸿达展览服务有限公司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eastAsia="zh-CN"/>
              </w:rPr>
              <w:t>广州交易会广告有限公司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eastAsia="zh-CN"/>
              </w:rPr>
              <w:t>北京笔克展览服务有限公司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sz w:val="20"/>
                <w:szCs w:val="21"/>
              </w:rPr>
              <w:t>English Name</w:t>
            </w:r>
            <w:r>
              <w:rPr>
                <w:sz w:val="20"/>
                <w:szCs w:val="21"/>
                <w:lang w:eastAsia="zh-CN"/>
              </w:rPr>
              <w:t>: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sz w:val="20"/>
                <w:szCs w:val="21"/>
              </w:rPr>
              <w:t xml:space="preserve">ORIENTAL </w:t>
            </w:r>
            <w:r>
              <w:rPr>
                <w:rFonts w:hint="eastAsia"/>
                <w:sz w:val="20"/>
                <w:szCs w:val="21"/>
                <w:lang w:eastAsia="zh-CN"/>
              </w:rPr>
              <w:t>Expo</w:t>
            </w:r>
            <w:r>
              <w:rPr>
                <w:sz w:val="20"/>
                <w:szCs w:val="21"/>
              </w:rPr>
              <w:t xml:space="preserve"> SERVICES(BEIJING) </w:t>
            </w:r>
            <w:r>
              <w:rPr>
                <w:sz w:val="20"/>
                <w:szCs w:val="21"/>
                <w:lang w:eastAsia="zh-CN"/>
              </w:rPr>
              <w:t>CO., LTD.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sz w:val="20"/>
                <w:szCs w:val="21"/>
              </w:rPr>
              <w:t>SHANGHAI HONG DA EXHIBITION SERVICE CO.</w:t>
            </w:r>
            <w:r>
              <w:rPr>
                <w:sz w:val="20"/>
                <w:szCs w:val="21"/>
                <w:lang w:eastAsia="zh-CN"/>
              </w:rPr>
              <w:t xml:space="preserve">, </w:t>
            </w:r>
            <w:r>
              <w:rPr>
                <w:sz w:val="20"/>
                <w:szCs w:val="21"/>
              </w:rPr>
              <w:t>LTD</w:t>
            </w:r>
            <w:r>
              <w:rPr>
                <w:sz w:val="20"/>
                <w:szCs w:val="21"/>
                <w:lang w:eastAsia="zh-CN"/>
              </w:rPr>
              <w:t>.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CANTON FAIR ADVERTISING CO., LTD.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BEIJING PICO EXHIBITION SERVICES CO., LTD.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1"/>
                <w:lang w:eastAsia="zh-CN"/>
              </w:rPr>
            </w:pPr>
            <w:r>
              <w:rPr>
                <w:sz w:val="20"/>
                <w:szCs w:val="21"/>
              </w:rPr>
              <w:t>Address</w:t>
            </w:r>
            <w:r>
              <w:rPr>
                <w:sz w:val="20"/>
                <w:szCs w:val="21"/>
                <w:lang w:eastAsia="zh-CN"/>
              </w:rPr>
              <w:t>: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  <w:lang w:eastAsia="zh-CN"/>
              </w:rPr>
              <w:t>Room</w:t>
            </w:r>
            <w:r>
              <w:rPr>
                <w:sz w:val="20"/>
                <w:szCs w:val="21"/>
              </w:rPr>
              <w:t xml:space="preserve">606, </w:t>
            </w:r>
            <w:r>
              <w:rPr>
                <w:sz w:val="20"/>
                <w:szCs w:val="21"/>
                <w:lang w:eastAsia="zh-CN"/>
              </w:rPr>
              <w:t>6</w:t>
            </w:r>
            <w:r>
              <w:rPr>
                <w:sz w:val="20"/>
                <w:szCs w:val="21"/>
                <w:vertAlign w:val="superscript"/>
                <w:lang w:eastAsia="zh-CN"/>
              </w:rPr>
              <w:t>th</w:t>
            </w:r>
            <w:r>
              <w:rPr>
                <w:sz w:val="20"/>
                <w:szCs w:val="21"/>
                <w:lang w:eastAsia="zh-CN"/>
              </w:rPr>
              <w:t xml:space="preserve"> </w:t>
            </w:r>
            <w:r>
              <w:rPr>
                <w:sz w:val="20"/>
                <w:szCs w:val="21"/>
              </w:rPr>
              <w:t xml:space="preserve">Floor, Ruichen International Center, </w:t>
            </w:r>
            <w:r>
              <w:rPr>
                <w:sz w:val="20"/>
                <w:szCs w:val="21"/>
                <w:lang w:eastAsia="zh-CN"/>
              </w:rPr>
              <w:t xml:space="preserve">No.13, </w:t>
            </w:r>
            <w:r>
              <w:rPr>
                <w:sz w:val="20"/>
                <w:szCs w:val="21"/>
              </w:rPr>
              <w:t xml:space="preserve">South </w:t>
            </w:r>
            <w:r>
              <w:rPr>
                <w:sz w:val="20"/>
                <w:szCs w:val="21"/>
                <w:lang w:eastAsia="zh-CN"/>
              </w:rPr>
              <w:t>Agricultural Exhibition Center</w:t>
            </w:r>
            <w:r>
              <w:rPr>
                <w:sz w:val="20"/>
                <w:szCs w:val="21"/>
              </w:rPr>
              <w:t xml:space="preserve"> Road, Chaoyang District, Beijing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  <w:lang w:eastAsia="zh-CN"/>
              </w:rPr>
              <w:t>12</w:t>
            </w:r>
            <w:r>
              <w:rPr>
                <w:sz w:val="20"/>
                <w:szCs w:val="21"/>
                <w:vertAlign w:val="superscript"/>
                <w:lang w:eastAsia="zh-CN"/>
              </w:rPr>
              <w:t>th</w:t>
            </w:r>
            <w:r>
              <w:rPr>
                <w:sz w:val="20"/>
                <w:szCs w:val="21"/>
                <w:lang w:eastAsia="zh-CN"/>
              </w:rPr>
              <w:t xml:space="preserve"> </w:t>
            </w:r>
            <w:r>
              <w:rPr>
                <w:sz w:val="20"/>
                <w:szCs w:val="21"/>
              </w:rPr>
              <w:t>Floor, Jinchen</w:t>
            </w:r>
            <w:r>
              <w:rPr>
                <w:sz w:val="20"/>
                <w:szCs w:val="21"/>
                <w:lang w:eastAsia="zh-CN"/>
              </w:rPr>
              <w:t>g</w:t>
            </w:r>
            <w:r>
              <w:rPr>
                <w:sz w:val="20"/>
                <w:szCs w:val="21"/>
              </w:rPr>
              <w:t xml:space="preserve"> Building, No. 511, West Tianmu Road, Shanghai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  <w:lang w:eastAsia="zh-CN"/>
              </w:rPr>
              <w:t>4</w:t>
            </w:r>
            <w:r>
              <w:rPr>
                <w:sz w:val="20"/>
                <w:szCs w:val="21"/>
                <w:vertAlign w:val="superscript"/>
                <w:lang w:eastAsia="zh-CN"/>
              </w:rPr>
              <w:t>th</w:t>
            </w:r>
            <w:r>
              <w:rPr>
                <w:sz w:val="20"/>
                <w:szCs w:val="21"/>
                <w:lang w:eastAsia="zh-CN"/>
              </w:rPr>
              <w:t xml:space="preserve"> </w:t>
            </w:r>
            <w:r>
              <w:rPr>
                <w:sz w:val="20"/>
                <w:szCs w:val="21"/>
              </w:rPr>
              <w:t>Floor, Exhibition Hall #3, NECC (Shanghai), No. 1988, Zhuguang Road, Qingpu District, Shanghai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No. 3, Shunxing Road, Shunyi District, Beijing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Contact 1: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Wang Jingyang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Li Yingjun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Qi Siying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Zhang Lanyun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Tel: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+86-21-67008951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+86-21-67008953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+86-21-67008955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+86-21-67008957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Mobile: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18510588867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13761632455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15221206825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13011090211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Email: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01constructor@ciie.org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02constructor@ciie.org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03constructor@ciie.org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04constructor@ciie.org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Contact 2: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Wang Miaomiao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  <w:lang w:eastAsia="zh-CN"/>
              </w:rPr>
              <w:t xml:space="preserve">Ge Moqian 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  <w:lang w:eastAsia="zh-CN"/>
              </w:rPr>
              <w:t>Chen Yujian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  <w:lang w:eastAsia="zh-CN"/>
              </w:rPr>
              <w:t>Niu Heming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Tel: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+86-21-67008952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+86-21-67008954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+86-21-67008956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+86-21-67008958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Mobile:</w:t>
            </w:r>
          </w:p>
        </w:tc>
        <w:tc>
          <w:tcPr>
            <w:tcW w:w="3339" w:type="dxa"/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18601928198</w:t>
            </w:r>
          </w:p>
        </w:tc>
        <w:tc>
          <w:tcPr>
            <w:tcW w:w="2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18221975792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13610041071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13910393664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Email:</w:t>
            </w:r>
          </w:p>
        </w:tc>
        <w:tc>
          <w:tcPr>
            <w:tcW w:w="3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01constructor@ciie.org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02constructor@ciie.org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03constructor@ciie.org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04constructor@ciie.org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Contact 3: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Yang Shenglian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  <w:lang w:eastAsia="zh-CN"/>
              </w:rPr>
              <w:t>Wang Birong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  <w:lang w:eastAsia="zh-CN"/>
              </w:rPr>
              <w:t>Su Dan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  <w:lang w:eastAsia="zh-CN"/>
              </w:rPr>
              <w:t>Yu Haifeng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Tel: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+86-21-67008952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+86-21-67008954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+86-21-67008956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+86-21-67008958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Mobile: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18610395187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18817488170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13922249245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13522761318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Email: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01constructor@ciie.org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02constructor@ciie.org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03constructor@ciie.org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04constructor@ciie.org</w:t>
            </w:r>
          </w:p>
        </w:tc>
      </w:tr>
    </w:tbl>
    <w:p>
      <w:pPr>
        <w:widowControl/>
        <w:jc w:val="left"/>
        <w:rPr>
          <w:b/>
          <w:szCs w:val="21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pStyle w:val="3"/>
        <w:widowControl/>
        <w:numPr>
          <w:ilvl w:val="0"/>
          <w:numId w:val="1"/>
        </w:numPr>
        <w:spacing w:before="0" w:beforeAutospacing="0" w:after="0" w:afterAutospacing="0"/>
        <w:rPr>
          <w:rFonts w:hAnsi="Times New Roman"/>
          <w:b/>
          <w:sz w:val="21"/>
          <w:szCs w:val="21"/>
        </w:rPr>
      </w:pPr>
      <w:r>
        <w:rPr>
          <w:rFonts w:hAnsi="Times New Roman"/>
          <w:b/>
          <w:sz w:val="21"/>
          <w:szCs w:val="21"/>
        </w:rPr>
        <w:t>Rent</w:t>
      </w:r>
      <w:r>
        <w:rPr>
          <w:rFonts w:hAnsi="Times New Roman"/>
          <w:b/>
          <w:sz w:val="21"/>
          <w:szCs w:val="21"/>
          <w:lang w:eastAsia="zh-CN"/>
        </w:rPr>
        <w:t xml:space="preserve">ing </w:t>
      </w:r>
      <w:r>
        <w:rPr>
          <w:rFonts w:hAnsi="Times New Roman"/>
          <w:b/>
          <w:sz w:val="21"/>
          <w:szCs w:val="21"/>
        </w:rPr>
        <w:t>Supporting Facilities</w:t>
      </w:r>
    </w:p>
    <w:p>
      <w:pPr>
        <w:pStyle w:val="3"/>
        <w:widowControl/>
        <w:numPr>
          <w:numId w:val="0"/>
        </w:numPr>
        <w:spacing w:before="0" w:beforeAutospacing="0" w:after="0" w:afterAutospacing="0"/>
        <w:ind w:leftChars="0"/>
        <w:rPr>
          <w:rFonts w:hAnsi="Times New Roman"/>
          <w:b/>
          <w:sz w:val="21"/>
          <w:szCs w:val="21"/>
          <w:lang w:eastAsia="zh-CN"/>
        </w:rPr>
      </w:pPr>
      <w:r>
        <w:rPr>
          <w:rFonts w:hint="eastAsia" w:hAnsi="Times New Roman"/>
          <w:b/>
          <w:sz w:val="21"/>
          <w:szCs w:val="21"/>
          <w:lang w:val="en-US" w:eastAsia="zh-CN"/>
        </w:rPr>
        <w:t xml:space="preserve">2.1 </w:t>
      </w:r>
      <w:r>
        <w:rPr>
          <w:rFonts w:hAnsi="Times New Roman"/>
          <w:b/>
          <w:sz w:val="21"/>
          <w:szCs w:val="21"/>
        </w:rPr>
        <w:t>Rent</w:t>
      </w:r>
      <w:r>
        <w:rPr>
          <w:rFonts w:hAnsi="Times New Roman"/>
          <w:b/>
          <w:sz w:val="21"/>
          <w:szCs w:val="21"/>
          <w:lang w:eastAsia="zh-CN"/>
        </w:rPr>
        <w:t xml:space="preserve">ing </w:t>
      </w:r>
      <w:r>
        <w:rPr>
          <w:rFonts w:hAnsi="Times New Roman"/>
          <w:b/>
          <w:sz w:val="21"/>
          <w:szCs w:val="21"/>
        </w:rPr>
        <w:t>Water, Electricity and Gas Facilities</w:t>
      </w:r>
    </w:p>
    <w:p>
      <w:pPr>
        <w:pStyle w:val="9"/>
        <w:numPr>
          <w:ilvl w:val="0"/>
          <w:numId w:val="2"/>
        </w:numPr>
        <w:ind w:firstLineChars="0"/>
        <w:rPr>
          <w:szCs w:val="21"/>
        </w:rPr>
      </w:pPr>
      <w:r>
        <w:rPr>
          <w:szCs w:val="21"/>
        </w:rPr>
        <w:t xml:space="preserve">Any </w:t>
      </w:r>
      <w:r>
        <w:rPr>
          <w:szCs w:val="21"/>
          <w:lang w:eastAsia="zh-CN"/>
        </w:rPr>
        <w:t>e</w:t>
      </w:r>
      <w:r>
        <w:rPr>
          <w:szCs w:val="21"/>
        </w:rPr>
        <w:t xml:space="preserve">xhibitor </w:t>
      </w:r>
      <w:r>
        <w:rPr>
          <w:szCs w:val="21"/>
          <w:lang w:eastAsia="zh-CN"/>
        </w:rPr>
        <w:t>in need of</w:t>
      </w:r>
      <w:r>
        <w:rPr>
          <w:szCs w:val="21"/>
        </w:rPr>
        <w:t xml:space="preserve"> water supply, electricity and gas facilities at the booth shall submit </w:t>
      </w:r>
      <w:r>
        <w:rPr>
          <w:szCs w:val="21"/>
          <w:lang w:eastAsia="zh-CN"/>
        </w:rPr>
        <w:t xml:space="preserve">a lease </w:t>
      </w:r>
      <w:r>
        <w:rPr>
          <w:szCs w:val="21"/>
        </w:rPr>
        <w:t>application</w:t>
      </w:r>
      <w:r>
        <w:rPr>
          <w:szCs w:val="21"/>
          <w:lang w:eastAsia="zh-CN"/>
        </w:rPr>
        <w:t xml:space="preserve"> </w:t>
      </w:r>
      <w:r>
        <w:rPr>
          <w:szCs w:val="21"/>
        </w:rPr>
        <w:t>to the official constructor prior to September 25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, 2018. Please refer to </w:t>
      </w:r>
      <w:r>
        <w:rPr>
          <w:iCs/>
          <w:szCs w:val="21"/>
          <w:lang w:eastAsia="zh-CN"/>
        </w:rPr>
        <w:t xml:space="preserve">Form </w:t>
      </w:r>
      <w:r>
        <w:rPr>
          <w:iCs/>
          <w:szCs w:val="21"/>
        </w:rPr>
        <w:t>6:</w:t>
      </w:r>
      <w:r>
        <w:rPr>
          <w:i/>
          <w:szCs w:val="21"/>
        </w:rPr>
        <w:t xml:space="preserve"> Application for </w:t>
      </w:r>
      <w:r>
        <w:rPr>
          <w:i/>
          <w:szCs w:val="21"/>
          <w:lang w:eastAsia="zh-CN"/>
        </w:rPr>
        <w:t xml:space="preserve">Lease </w:t>
      </w:r>
      <w:r>
        <w:rPr>
          <w:i/>
          <w:szCs w:val="21"/>
        </w:rPr>
        <w:t>of Supporting Facilities</w:t>
      </w:r>
      <w:r>
        <w:rPr>
          <w:i/>
          <w:szCs w:val="21"/>
          <w:lang w:eastAsia="zh-CN"/>
        </w:rPr>
        <w:t xml:space="preserve"> </w:t>
      </w:r>
      <w:r>
        <w:rPr>
          <w:szCs w:val="21"/>
        </w:rPr>
        <w:t>for details.</w:t>
      </w:r>
    </w:p>
    <w:p>
      <w:pPr>
        <w:pStyle w:val="9"/>
        <w:ind w:left="425" w:firstLine="0" w:firstLineChars="0"/>
        <w:rPr>
          <w:szCs w:val="21"/>
        </w:rPr>
      </w:pPr>
    </w:p>
    <w:p>
      <w:pPr>
        <w:pStyle w:val="9"/>
        <w:numPr>
          <w:ilvl w:val="0"/>
          <w:numId w:val="2"/>
        </w:numPr>
        <w:ind w:firstLineChars="0"/>
        <w:rPr>
          <w:szCs w:val="21"/>
        </w:rPr>
      </w:pPr>
      <w:r>
        <w:rPr>
          <w:szCs w:val="21"/>
        </w:rPr>
        <w:t xml:space="preserve">Any exhibitor </w:t>
      </w:r>
      <w:r>
        <w:rPr>
          <w:szCs w:val="21"/>
          <w:lang w:eastAsia="zh-CN"/>
        </w:rPr>
        <w:t xml:space="preserve">in need of </w:t>
      </w:r>
      <w:r>
        <w:rPr>
          <w:szCs w:val="21"/>
        </w:rPr>
        <w:t>24h power supply at the booth shall submit an application to the official constructor prior to September 25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, 2018. Please refer to </w:t>
      </w:r>
      <w:r>
        <w:rPr>
          <w:iCs/>
          <w:szCs w:val="21"/>
          <w:lang w:eastAsia="zh-CN"/>
        </w:rPr>
        <w:t xml:space="preserve">Form </w:t>
      </w:r>
      <w:r>
        <w:rPr>
          <w:iCs/>
          <w:szCs w:val="21"/>
        </w:rPr>
        <w:t>7:</w:t>
      </w:r>
      <w:r>
        <w:rPr>
          <w:i/>
          <w:szCs w:val="21"/>
        </w:rPr>
        <w:t xml:space="preserve"> Application for 24H Power Supply at the Booth</w:t>
      </w:r>
      <w:r>
        <w:rPr>
          <w:szCs w:val="21"/>
        </w:rPr>
        <w:t xml:space="preserve"> for details.</w:t>
      </w:r>
    </w:p>
    <w:p>
      <w:pPr>
        <w:pStyle w:val="9"/>
        <w:ind w:firstLine="0" w:firstLineChars="0"/>
        <w:rPr>
          <w:szCs w:val="21"/>
        </w:rPr>
      </w:pPr>
    </w:p>
    <w:p>
      <w:pPr>
        <w:pStyle w:val="9"/>
        <w:numPr>
          <w:ilvl w:val="0"/>
          <w:numId w:val="2"/>
        </w:numPr>
        <w:ind w:firstLineChars="0"/>
        <w:rPr>
          <w:szCs w:val="21"/>
        </w:rPr>
      </w:pPr>
      <w:r>
        <w:rPr>
          <w:szCs w:val="21"/>
        </w:rPr>
        <w:t xml:space="preserve">Any exhibitor </w:t>
      </w:r>
      <w:r>
        <w:rPr>
          <w:szCs w:val="21"/>
          <w:lang w:eastAsia="zh-CN"/>
        </w:rPr>
        <w:t xml:space="preserve">in need of </w:t>
      </w:r>
      <w:r>
        <w:rPr>
          <w:szCs w:val="21"/>
        </w:rPr>
        <w:t>water, electricity and gas supply in advance at the booth shall submit an application to the official constructor prior to September 25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, 2018. Please refer to </w:t>
      </w:r>
      <w:r>
        <w:rPr>
          <w:iCs/>
          <w:szCs w:val="21"/>
          <w:lang w:eastAsia="zh-CN"/>
        </w:rPr>
        <w:t xml:space="preserve">Form </w:t>
      </w:r>
      <w:r>
        <w:rPr>
          <w:iCs/>
          <w:szCs w:val="21"/>
        </w:rPr>
        <w:t>8:</w:t>
      </w:r>
      <w:r>
        <w:rPr>
          <w:i/>
          <w:szCs w:val="21"/>
        </w:rPr>
        <w:t xml:space="preserve"> Application for Advance Water, Electricity and Gas Supply </w:t>
      </w:r>
      <w:r>
        <w:rPr>
          <w:szCs w:val="21"/>
        </w:rPr>
        <w:t>for details.</w:t>
      </w:r>
    </w:p>
    <w:p>
      <w:pPr>
        <w:pStyle w:val="9"/>
        <w:ind w:firstLine="0" w:firstLineChars="0"/>
        <w:rPr>
          <w:szCs w:val="21"/>
        </w:rPr>
      </w:pPr>
    </w:p>
    <w:p>
      <w:pPr>
        <w:pStyle w:val="9"/>
        <w:numPr>
          <w:ilvl w:val="0"/>
          <w:numId w:val="2"/>
        </w:numPr>
        <w:ind w:firstLineChars="0"/>
        <w:rPr>
          <w:szCs w:val="21"/>
        </w:rPr>
      </w:pPr>
      <w:r>
        <w:rPr>
          <w:szCs w:val="21"/>
        </w:rPr>
        <w:t>If it is not permitted, or it is unsuitable to install leakage protectors for special reasons (</w:t>
      </w:r>
      <w:r>
        <w:rPr>
          <w:szCs w:val="21"/>
          <w:lang w:eastAsia="zh-CN"/>
        </w:rPr>
        <w:t>for example, the distribution lines for special power use such as mechanical power consumption and silicon-controlled rectifier</w:t>
      </w:r>
      <w:r>
        <w:rPr>
          <w:szCs w:val="21"/>
        </w:rPr>
        <w:t>), the exhibitor shall submit an application to the official constructor prior to September 25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, 2018. Please refer to </w:t>
      </w:r>
      <w:r>
        <w:rPr>
          <w:iCs/>
          <w:szCs w:val="21"/>
          <w:lang w:eastAsia="zh-CN"/>
        </w:rPr>
        <w:t xml:space="preserve">Form </w:t>
      </w:r>
      <w:r>
        <w:rPr>
          <w:iCs/>
          <w:szCs w:val="21"/>
        </w:rPr>
        <w:t xml:space="preserve">9: </w:t>
      </w:r>
      <w:r>
        <w:rPr>
          <w:i/>
          <w:szCs w:val="21"/>
        </w:rPr>
        <w:t>Application for Removal of Distribution Box Leakage Protector</w:t>
      </w:r>
      <w:r>
        <w:rPr>
          <w:i/>
          <w:szCs w:val="21"/>
          <w:lang w:eastAsia="zh-CN"/>
        </w:rPr>
        <w:t xml:space="preserve"> </w:t>
      </w:r>
      <w:r>
        <w:rPr>
          <w:szCs w:val="21"/>
        </w:rPr>
        <w:t>for details.</w:t>
      </w:r>
    </w:p>
    <w:p>
      <w:pPr>
        <w:pStyle w:val="9"/>
        <w:ind w:left="425" w:firstLine="0" w:firstLineChars="0"/>
        <w:rPr>
          <w:szCs w:val="21"/>
        </w:rPr>
      </w:pPr>
    </w:p>
    <w:p>
      <w:pPr>
        <w:pStyle w:val="3"/>
        <w:widowControl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/>
          <w:sz w:val="21"/>
          <w:szCs w:val="21"/>
        </w:rPr>
      </w:pPr>
      <w:r>
        <w:rPr>
          <w:rFonts w:hAnsi="Times New Roman"/>
          <w:sz w:val="21"/>
          <w:szCs w:val="21"/>
        </w:rPr>
        <w:t>If any exhibitor has any speci</w:t>
      </w:r>
      <w:r>
        <w:rPr>
          <w:rFonts w:hAnsi="Times New Roman"/>
          <w:sz w:val="21"/>
          <w:szCs w:val="21"/>
          <w:lang w:eastAsia="zh-CN"/>
        </w:rPr>
        <w:t>al</w:t>
      </w:r>
      <w:r>
        <w:rPr>
          <w:rFonts w:hAnsi="Times New Roman"/>
          <w:sz w:val="21"/>
          <w:szCs w:val="21"/>
        </w:rPr>
        <w:t xml:space="preserve"> requirement</w:t>
      </w:r>
      <w:r>
        <w:rPr>
          <w:rFonts w:hAnsi="Times New Roman"/>
          <w:sz w:val="21"/>
          <w:szCs w:val="21"/>
          <w:lang w:eastAsia="zh-CN"/>
        </w:rPr>
        <w:t>s</w:t>
      </w:r>
      <w:r>
        <w:rPr>
          <w:rFonts w:hAnsi="Times New Roman"/>
          <w:sz w:val="21"/>
          <w:szCs w:val="21"/>
        </w:rPr>
        <w:t xml:space="preserve"> </w:t>
      </w:r>
      <w:r>
        <w:rPr>
          <w:rFonts w:hAnsi="Times New Roman"/>
          <w:sz w:val="21"/>
          <w:szCs w:val="21"/>
          <w:lang w:eastAsia="zh-CN"/>
        </w:rPr>
        <w:t>for</w:t>
      </w:r>
      <w:r>
        <w:rPr>
          <w:rFonts w:hAnsi="Times New Roman"/>
          <w:sz w:val="21"/>
          <w:szCs w:val="21"/>
        </w:rPr>
        <w:t xml:space="preserve"> compressed air or requires the supply </w:t>
      </w:r>
      <w:r>
        <w:rPr>
          <w:rFonts w:hAnsi="Times New Roman"/>
          <w:sz w:val="21"/>
          <w:szCs w:val="21"/>
          <w:lang w:eastAsia="zh-CN"/>
        </w:rPr>
        <w:t>of compressed air of over</w:t>
      </w:r>
      <w:r>
        <w:rPr>
          <w:rFonts w:hAnsi="Times New Roman"/>
          <w:sz w:val="21"/>
          <w:szCs w:val="21"/>
        </w:rPr>
        <w:t xml:space="preserve"> 1.6 m</w:t>
      </w:r>
      <w:r>
        <w:rPr>
          <w:rFonts w:hAnsi="Times New Roman"/>
          <w:sz w:val="21"/>
          <w:szCs w:val="21"/>
          <w:vertAlign w:val="superscript"/>
        </w:rPr>
        <w:t>3</w:t>
      </w:r>
      <w:r>
        <w:rPr>
          <w:rFonts w:hAnsi="Times New Roman"/>
          <w:sz w:val="21"/>
          <w:szCs w:val="21"/>
        </w:rPr>
        <w:t>/min, it is recommended that the</w:t>
      </w:r>
      <w:r>
        <w:rPr>
          <w:rFonts w:hAnsi="Times New Roman"/>
          <w:sz w:val="21"/>
          <w:szCs w:val="21"/>
          <w:lang w:eastAsia="zh-CN"/>
        </w:rPr>
        <w:t xml:space="preserve"> exhibitor</w:t>
      </w:r>
      <w:r>
        <w:rPr>
          <w:rFonts w:hAnsi="Times New Roman"/>
          <w:sz w:val="21"/>
          <w:szCs w:val="21"/>
        </w:rPr>
        <w:t xml:space="preserve"> bring</w:t>
      </w:r>
      <w:r>
        <w:rPr>
          <w:rFonts w:hAnsi="Times New Roman"/>
          <w:sz w:val="21"/>
          <w:szCs w:val="21"/>
          <w:lang w:eastAsia="zh-CN"/>
        </w:rPr>
        <w:t>s his/her own</w:t>
      </w:r>
      <w:r>
        <w:rPr>
          <w:rFonts w:hAnsi="Times New Roman"/>
          <w:sz w:val="21"/>
          <w:szCs w:val="21"/>
        </w:rPr>
        <w:t xml:space="preserve"> air compressors and submit</w:t>
      </w:r>
      <w:r>
        <w:rPr>
          <w:rFonts w:hAnsi="Times New Roman"/>
          <w:sz w:val="21"/>
          <w:szCs w:val="21"/>
          <w:lang w:eastAsia="zh-CN"/>
        </w:rPr>
        <w:t>s</w:t>
      </w:r>
      <w:r>
        <w:rPr>
          <w:rFonts w:hAnsi="Times New Roman"/>
          <w:sz w:val="21"/>
          <w:szCs w:val="21"/>
        </w:rPr>
        <w:t xml:space="preserve"> an application to the official constructor prior to September 25</w:t>
      </w:r>
      <w:r>
        <w:rPr>
          <w:rFonts w:hAnsi="Times New Roman"/>
          <w:sz w:val="21"/>
          <w:szCs w:val="21"/>
          <w:vertAlign w:val="superscript"/>
        </w:rPr>
        <w:t>th</w:t>
      </w:r>
      <w:r>
        <w:rPr>
          <w:rFonts w:hAnsi="Times New Roman"/>
          <w:sz w:val="21"/>
          <w:szCs w:val="21"/>
        </w:rPr>
        <w:t>, 2018. Please refer to</w:t>
      </w:r>
      <w:r>
        <w:rPr>
          <w:rFonts w:hAnsi="Times New Roman"/>
          <w:iCs/>
          <w:sz w:val="21"/>
          <w:szCs w:val="21"/>
          <w:lang w:eastAsia="zh-CN"/>
        </w:rPr>
        <w:t xml:space="preserve"> Form </w:t>
      </w:r>
      <w:r>
        <w:rPr>
          <w:rFonts w:hAnsi="Times New Roman"/>
          <w:iCs/>
          <w:sz w:val="21"/>
          <w:szCs w:val="21"/>
        </w:rPr>
        <w:t xml:space="preserve">3: </w:t>
      </w:r>
      <w:r>
        <w:rPr>
          <w:rFonts w:hAnsi="Times New Roman"/>
          <w:i/>
          <w:sz w:val="21"/>
          <w:szCs w:val="21"/>
        </w:rPr>
        <w:t>Application for Special Items Entry</w:t>
      </w:r>
      <w:r>
        <w:rPr>
          <w:rFonts w:hAnsi="Times New Roman"/>
          <w:i/>
          <w:sz w:val="21"/>
          <w:szCs w:val="21"/>
          <w:lang w:eastAsia="zh-CN"/>
        </w:rPr>
        <w:t xml:space="preserve"> </w:t>
      </w:r>
      <w:r>
        <w:rPr>
          <w:rFonts w:hAnsi="Times New Roman"/>
          <w:iCs/>
          <w:sz w:val="21"/>
          <w:szCs w:val="21"/>
        </w:rPr>
        <w:t>for</w:t>
      </w:r>
      <w:r>
        <w:rPr>
          <w:rFonts w:hAnsi="Times New Roman"/>
          <w:sz w:val="21"/>
          <w:szCs w:val="21"/>
        </w:rPr>
        <w:t xml:space="preserve"> details.</w:t>
      </w: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sz w:val="21"/>
          <w:szCs w:val="21"/>
        </w:rPr>
      </w:pP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>2.2 Rent</w:t>
      </w:r>
      <w:r>
        <w:rPr>
          <w:rFonts w:hAnsi="Times New Roman"/>
          <w:b/>
          <w:sz w:val="21"/>
          <w:szCs w:val="21"/>
          <w:lang w:eastAsia="zh-CN"/>
        </w:rPr>
        <w:t xml:space="preserve">ing </w:t>
      </w:r>
      <w:r>
        <w:rPr>
          <w:rFonts w:hAnsi="Times New Roman"/>
          <w:b/>
          <w:sz w:val="21"/>
          <w:szCs w:val="21"/>
        </w:rPr>
        <w:t>Network and Phone Facilities</w:t>
      </w:r>
    </w:p>
    <w:p>
      <w:pPr>
        <w:pStyle w:val="9"/>
        <w:rPr>
          <w:szCs w:val="21"/>
          <w:lang w:eastAsia="zh-CN"/>
        </w:rPr>
      </w:pPr>
      <w:r>
        <w:rPr>
          <w:szCs w:val="21"/>
        </w:rPr>
        <w:t>Any exhibitor</w:t>
      </w:r>
      <w:r>
        <w:rPr>
          <w:szCs w:val="21"/>
          <w:lang w:eastAsia="zh-CN"/>
        </w:rPr>
        <w:t xml:space="preserve"> in need of</w:t>
      </w:r>
      <w:r>
        <w:rPr>
          <w:szCs w:val="21"/>
        </w:rPr>
        <w:t xml:space="preserve"> rent</w:t>
      </w:r>
      <w:r>
        <w:rPr>
          <w:szCs w:val="21"/>
          <w:lang w:eastAsia="zh-CN"/>
        </w:rPr>
        <w:t>ing</w:t>
      </w:r>
      <w:r>
        <w:rPr>
          <w:szCs w:val="21"/>
        </w:rPr>
        <w:t xml:space="preserve"> supporting network and phone facilities shall submit an application to the official constructor prior to September 25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, 2018. Please refer to </w:t>
      </w:r>
      <w:r>
        <w:rPr>
          <w:iCs/>
          <w:szCs w:val="21"/>
          <w:lang w:eastAsia="zh-CN"/>
        </w:rPr>
        <w:t xml:space="preserve">Form </w:t>
      </w:r>
      <w:r>
        <w:rPr>
          <w:iCs/>
          <w:szCs w:val="21"/>
        </w:rPr>
        <w:t xml:space="preserve">6: </w:t>
      </w:r>
      <w:r>
        <w:rPr>
          <w:i/>
          <w:szCs w:val="21"/>
        </w:rPr>
        <w:t xml:space="preserve">Application for </w:t>
      </w:r>
      <w:r>
        <w:rPr>
          <w:i/>
          <w:szCs w:val="21"/>
          <w:lang w:eastAsia="zh-CN"/>
        </w:rPr>
        <w:t xml:space="preserve">Lease </w:t>
      </w:r>
      <w:r>
        <w:rPr>
          <w:i/>
          <w:szCs w:val="21"/>
        </w:rPr>
        <w:t>of Supporting Facilities</w:t>
      </w:r>
      <w:r>
        <w:rPr>
          <w:szCs w:val="21"/>
          <w:lang w:eastAsia="zh-CN"/>
        </w:rPr>
        <w:t xml:space="preserve"> </w:t>
      </w:r>
      <w:r>
        <w:rPr>
          <w:szCs w:val="21"/>
        </w:rPr>
        <w:t>for details.</w:t>
      </w:r>
    </w:p>
    <w:p>
      <w:pPr>
        <w:pStyle w:val="9"/>
        <w:ind w:firstLine="0" w:firstLineChars="0"/>
        <w:rPr>
          <w:szCs w:val="21"/>
          <w:lang w:eastAsia="zh-CN"/>
        </w:rPr>
      </w:pP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>2.3 Ren</w:t>
      </w:r>
      <w:r>
        <w:rPr>
          <w:rFonts w:hAnsi="Times New Roman"/>
          <w:b/>
          <w:sz w:val="21"/>
          <w:szCs w:val="21"/>
          <w:lang w:eastAsia="zh-CN"/>
        </w:rPr>
        <w:t xml:space="preserve">ting </w:t>
      </w:r>
      <w:r>
        <w:rPr>
          <w:rFonts w:hAnsi="Times New Roman"/>
          <w:b/>
          <w:sz w:val="21"/>
          <w:szCs w:val="21"/>
        </w:rPr>
        <w:t>Exhibition Equipment</w:t>
      </w:r>
    </w:p>
    <w:p>
      <w:pPr>
        <w:pStyle w:val="3"/>
        <w:widowControl/>
        <w:spacing w:before="0" w:beforeAutospacing="0" w:after="0" w:afterAutospacing="0"/>
        <w:ind w:firstLine="420" w:firstLineChars="200"/>
        <w:jc w:val="both"/>
        <w:rPr>
          <w:rFonts w:hAnsi="Times New Roman"/>
          <w:sz w:val="21"/>
          <w:szCs w:val="21"/>
          <w:lang w:eastAsia="zh-CN"/>
        </w:rPr>
      </w:pPr>
      <w:r>
        <w:rPr>
          <w:rFonts w:hAnsi="Times New Roman"/>
          <w:sz w:val="21"/>
          <w:szCs w:val="21"/>
        </w:rPr>
        <w:t xml:space="preserve">Any exhibitor </w:t>
      </w:r>
      <w:r>
        <w:rPr>
          <w:rFonts w:hAnsi="Times New Roman"/>
          <w:sz w:val="21"/>
          <w:szCs w:val="21"/>
          <w:lang w:eastAsia="zh-CN"/>
        </w:rPr>
        <w:t>in need of</w:t>
      </w:r>
      <w:r>
        <w:rPr>
          <w:rFonts w:hAnsi="Times New Roman"/>
          <w:sz w:val="21"/>
          <w:szCs w:val="21"/>
        </w:rPr>
        <w:t xml:space="preserve"> rent</w:t>
      </w:r>
      <w:r>
        <w:rPr>
          <w:rFonts w:hAnsi="Times New Roman"/>
          <w:sz w:val="21"/>
          <w:szCs w:val="21"/>
          <w:lang w:eastAsia="zh-CN"/>
        </w:rPr>
        <w:t>ing</w:t>
      </w:r>
      <w:r>
        <w:rPr>
          <w:rFonts w:hAnsi="Times New Roman"/>
          <w:sz w:val="21"/>
          <w:szCs w:val="21"/>
        </w:rPr>
        <w:t xml:space="preserve"> exhibition equipment shall submit an application to the official constructor prior to September 25</w:t>
      </w:r>
      <w:r>
        <w:rPr>
          <w:rFonts w:hAnsi="Times New Roman"/>
          <w:sz w:val="21"/>
          <w:szCs w:val="21"/>
          <w:vertAlign w:val="superscript"/>
        </w:rPr>
        <w:t>th</w:t>
      </w:r>
      <w:r>
        <w:rPr>
          <w:rFonts w:hAnsi="Times New Roman"/>
          <w:sz w:val="21"/>
          <w:szCs w:val="21"/>
        </w:rPr>
        <w:t>, 2018. Your requirement</w:t>
      </w:r>
      <w:r>
        <w:rPr>
          <w:rFonts w:hAnsi="Times New Roman"/>
          <w:sz w:val="21"/>
          <w:szCs w:val="21"/>
          <w:lang w:eastAsia="zh-CN"/>
        </w:rPr>
        <w:t>s</w:t>
      </w:r>
      <w:r>
        <w:rPr>
          <w:rFonts w:hAnsi="Times New Roman"/>
          <w:sz w:val="21"/>
          <w:szCs w:val="21"/>
        </w:rPr>
        <w:t xml:space="preserve"> cannot be fulfilled if the application is made on</w:t>
      </w:r>
      <w:r>
        <w:rPr>
          <w:rFonts w:hAnsi="Times New Roman"/>
          <w:sz w:val="21"/>
          <w:szCs w:val="21"/>
          <w:lang w:eastAsia="zh-CN"/>
        </w:rPr>
        <w:t>-</w:t>
      </w:r>
      <w:r>
        <w:rPr>
          <w:rFonts w:hAnsi="Times New Roman"/>
          <w:sz w:val="21"/>
          <w:szCs w:val="21"/>
        </w:rPr>
        <w:t xml:space="preserve">site during the </w:t>
      </w:r>
      <w:r>
        <w:rPr>
          <w:rFonts w:hint="eastAsia" w:hAnsi="Times New Roman"/>
          <w:sz w:val="21"/>
          <w:szCs w:val="21"/>
          <w:lang w:eastAsia="zh-CN"/>
        </w:rPr>
        <w:t>Expo</w:t>
      </w:r>
      <w:r>
        <w:rPr>
          <w:rFonts w:hAnsi="Times New Roman"/>
          <w:sz w:val="21"/>
          <w:szCs w:val="21"/>
        </w:rPr>
        <w:t xml:space="preserve">. Please refer to </w:t>
      </w:r>
      <w:r>
        <w:rPr>
          <w:rFonts w:hAnsi="Times New Roman"/>
          <w:iCs/>
          <w:sz w:val="21"/>
          <w:szCs w:val="21"/>
        </w:rPr>
        <w:t>Form 10</w:t>
      </w:r>
      <w:r>
        <w:rPr>
          <w:rFonts w:hAnsi="Times New Roman"/>
          <w:i/>
          <w:sz w:val="21"/>
          <w:szCs w:val="21"/>
        </w:rPr>
        <w:t xml:space="preserve">: Application for </w:t>
      </w:r>
      <w:r>
        <w:rPr>
          <w:rFonts w:hAnsi="Times New Roman"/>
          <w:i/>
          <w:sz w:val="21"/>
          <w:szCs w:val="21"/>
          <w:lang w:eastAsia="zh-CN"/>
        </w:rPr>
        <w:t>Lease</w:t>
      </w:r>
      <w:r>
        <w:rPr>
          <w:rFonts w:hAnsi="Times New Roman"/>
          <w:i/>
          <w:sz w:val="21"/>
          <w:szCs w:val="21"/>
        </w:rPr>
        <w:t xml:space="preserve"> of Exhibition Equipment</w:t>
      </w:r>
      <w:r>
        <w:rPr>
          <w:rFonts w:hAnsi="Times New Roman"/>
          <w:i/>
          <w:sz w:val="21"/>
          <w:szCs w:val="21"/>
          <w:lang w:eastAsia="zh-CN"/>
        </w:rPr>
        <w:t xml:space="preserve"> </w:t>
      </w:r>
      <w:r>
        <w:rPr>
          <w:rFonts w:hAnsi="Times New Roman"/>
          <w:sz w:val="21"/>
          <w:szCs w:val="21"/>
        </w:rPr>
        <w:t>for details.</w:t>
      </w: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sz w:val="21"/>
          <w:szCs w:val="21"/>
          <w:lang w:eastAsia="zh-CN"/>
        </w:rPr>
      </w:pP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>2.4 Rent</w:t>
      </w:r>
      <w:r>
        <w:rPr>
          <w:rFonts w:hAnsi="Times New Roman"/>
          <w:b/>
          <w:sz w:val="21"/>
          <w:szCs w:val="21"/>
          <w:lang w:eastAsia="zh-CN"/>
        </w:rPr>
        <w:t>ing</w:t>
      </w:r>
      <w:r>
        <w:rPr>
          <w:rFonts w:hAnsi="Times New Roman"/>
          <w:b/>
          <w:sz w:val="21"/>
          <w:szCs w:val="21"/>
        </w:rPr>
        <w:t xml:space="preserve"> Flowers and Green </w:t>
      </w:r>
      <w:r>
        <w:rPr>
          <w:rFonts w:hAnsi="Times New Roman"/>
          <w:b/>
          <w:sz w:val="21"/>
          <w:szCs w:val="21"/>
          <w:lang w:eastAsia="zh-CN"/>
        </w:rPr>
        <w:t>P</w:t>
      </w:r>
      <w:r>
        <w:rPr>
          <w:rFonts w:hAnsi="Times New Roman"/>
          <w:b/>
          <w:sz w:val="21"/>
          <w:szCs w:val="21"/>
        </w:rPr>
        <w:t xml:space="preserve">lants </w:t>
      </w:r>
    </w:p>
    <w:p>
      <w:pPr>
        <w:pStyle w:val="9"/>
        <w:rPr>
          <w:szCs w:val="21"/>
          <w:lang w:eastAsia="zh-CN"/>
        </w:rPr>
      </w:pPr>
      <w:r>
        <w:rPr>
          <w:szCs w:val="21"/>
        </w:rPr>
        <w:t xml:space="preserve">Any exhibitor </w:t>
      </w:r>
      <w:r>
        <w:rPr>
          <w:szCs w:val="21"/>
          <w:lang w:eastAsia="zh-CN"/>
        </w:rPr>
        <w:t xml:space="preserve">in need of </w:t>
      </w:r>
      <w:r>
        <w:rPr>
          <w:szCs w:val="21"/>
        </w:rPr>
        <w:t>rent</w:t>
      </w:r>
      <w:r>
        <w:rPr>
          <w:szCs w:val="21"/>
          <w:lang w:eastAsia="zh-CN"/>
        </w:rPr>
        <w:t>ing</w:t>
      </w:r>
      <w:r>
        <w:rPr>
          <w:szCs w:val="21"/>
        </w:rPr>
        <w:t xml:space="preserve"> flowers and green plants shall submit an application to the official constructor prior to September 25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, 2018 or apply at the </w:t>
      </w:r>
      <w:r>
        <w:rPr>
          <w:rFonts w:hint="eastAsia"/>
          <w:szCs w:val="21"/>
          <w:lang w:eastAsia="zh-CN"/>
        </w:rPr>
        <w:t>Expo</w:t>
      </w:r>
      <w:r>
        <w:rPr>
          <w:szCs w:val="21"/>
        </w:rPr>
        <w:t xml:space="preserve"> Service Center at the site. Please refer to </w:t>
      </w:r>
      <w:r>
        <w:rPr>
          <w:iCs/>
          <w:szCs w:val="21"/>
          <w:lang w:eastAsia="zh-CN"/>
        </w:rPr>
        <w:t xml:space="preserve">Form </w:t>
      </w:r>
      <w:r>
        <w:rPr>
          <w:iCs/>
          <w:szCs w:val="21"/>
        </w:rPr>
        <w:t>11:</w:t>
      </w:r>
      <w:r>
        <w:rPr>
          <w:i/>
          <w:szCs w:val="21"/>
        </w:rPr>
        <w:t xml:space="preserve"> Application for </w:t>
      </w:r>
      <w:r>
        <w:rPr>
          <w:i/>
          <w:szCs w:val="21"/>
          <w:lang w:eastAsia="zh-CN"/>
        </w:rPr>
        <w:t xml:space="preserve">Lease </w:t>
      </w:r>
      <w:r>
        <w:rPr>
          <w:i/>
          <w:szCs w:val="21"/>
        </w:rPr>
        <w:t xml:space="preserve">of Flowers and Green </w:t>
      </w:r>
      <w:r>
        <w:rPr>
          <w:i/>
          <w:szCs w:val="21"/>
          <w:lang w:eastAsia="zh-CN"/>
        </w:rPr>
        <w:t>P</w:t>
      </w:r>
      <w:r>
        <w:rPr>
          <w:i/>
          <w:szCs w:val="21"/>
        </w:rPr>
        <w:t>lants</w:t>
      </w:r>
      <w:r>
        <w:rPr>
          <w:szCs w:val="21"/>
        </w:rPr>
        <w:t xml:space="preserve"> for details.</w:t>
      </w:r>
    </w:p>
    <w:p>
      <w:pPr>
        <w:pStyle w:val="9"/>
        <w:ind w:firstLine="0" w:firstLineChars="0"/>
        <w:rPr>
          <w:szCs w:val="21"/>
          <w:lang w:eastAsia="zh-CN"/>
        </w:rPr>
      </w:pPr>
    </w:p>
    <w:p>
      <w:pPr>
        <w:pStyle w:val="9"/>
        <w:ind w:firstLine="0" w:firstLineChars="0"/>
        <w:rPr>
          <w:szCs w:val="21"/>
          <w:lang w:eastAsia="zh-CN"/>
        </w:rPr>
      </w:pPr>
    </w:p>
    <w:p>
      <w:pPr>
        <w:pStyle w:val="3"/>
        <w:widowControl/>
        <w:numPr>
          <w:ilvl w:val="0"/>
          <w:numId w:val="1"/>
        </w:numPr>
        <w:spacing w:before="0" w:beforeAutospacing="0" w:after="0" w:afterAutospacing="0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>Standard Booth</w:t>
      </w:r>
      <w:r>
        <w:rPr>
          <w:rFonts w:hAnsi="Times New Roman"/>
          <w:b/>
          <w:sz w:val="21"/>
          <w:szCs w:val="21"/>
          <w:lang w:eastAsia="zh-CN"/>
        </w:rPr>
        <w:t>s</w:t>
      </w: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 xml:space="preserve">3.1 Notice to Exhibitors </w:t>
      </w:r>
      <w:r>
        <w:rPr>
          <w:rFonts w:hAnsi="Times New Roman"/>
          <w:b/>
          <w:sz w:val="21"/>
          <w:szCs w:val="21"/>
          <w:lang w:eastAsia="zh-CN"/>
        </w:rPr>
        <w:t>Using</w:t>
      </w:r>
      <w:r>
        <w:rPr>
          <w:rFonts w:hAnsi="Times New Roman"/>
          <w:b/>
          <w:sz w:val="21"/>
          <w:szCs w:val="21"/>
        </w:rPr>
        <w:t xml:space="preserve"> Standard Booths</w:t>
      </w:r>
    </w:p>
    <w:p>
      <w:pPr>
        <w:pStyle w:val="8"/>
        <w:numPr>
          <w:ilvl w:val="0"/>
          <w:numId w:val="3"/>
        </w:numPr>
        <w:ind w:firstLineChars="0"/>
        <w:rPr>
          <w:szCs w:val="21"/>
        </w:rPr>
      </w:pPr>
      <w:r>
        <w:rPr>
          <w:szCs w:val="21"/>
        </w:rPr>
        <w:t xml:space="preserve">Exhibitors </w:t>
      </w:r>
      <w:r>
        <w:rPr>
          <w:szCs w:val="21"/>
          <w:lang w:eastAsia="zh-CN"/>
        </w:rPr>
        <w:t>using</w:t>
      </w:r>
      <w:r>
        <w:rPr>
          <w:szCs w:val="21"/>
        </w:rPr>
        <w:t xml:space="preserve"> standard booths are required to fill out a Booth Fascia Board Information Form. Please send the form to the designated official constructor prior to September 25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, 2018. Please do not cover up or modify the fascia board without permission. Please refer to </w:t>
      </w:r>
      <w:r>
        <w:rPr>
          <w:iCs/>
          <w:szCs w:val="21"/>
          <w:lang w:eastAsia="zh-CN"/>
        </w:rPr>
        <w:t xml:space="preserve">Form </w:t>
      </w:r>
      <w:r>
        <w:rPr>
          <w:iCs/>
          <w:szCs w:val="21"/>
        </w:rPr>
        <w:t xml:space="preserve">12: </w:t>
      </w:r>
      <w:r>
        <w:rPr>
          <w:i/>
          <w:szCs w:val="21"/>
          <w:lang w:eastAsia="zh-CN"/>
        </w:rPr>
        <w:t xml:space="preserve">Standard </w:t>
      </w:r>
      <w:r>
        <w:rPr>
          <w:i/>
          <w:szCs w:val="21"/>
        </w:rPr>
        <w:t>Booth Fascia Board Information Form</w:t>
      </w:r>
      <w:r>
        <w:rPr>
          <w:i/>
          <w:szCs w:val="21"/>
          <w:lang w:eastAsia="zh-CN"/>
        </w:rPr>
        <w:t xml:space="preserve"> </w:t>
      </w:r>
      <w:r>
        <w:rPr>
          <w:szCs w:val="21"/>
        </w:rPr>
        <w:t>for details.</w:t>
      </w:r>
    </w:p>
    <w:p>
      <w:pPr>
        <w:pStyle w:val="8"/>
        <w:ind w:left="425" w:firstLine="0" w:firstLineChars="0"/>
        <w:rPr>
          <w:szCs w:val="21"/>
        </w:rPr>
      </w:pPr>
    </w:p>
    <w:p>
      <w:pPr>
        <w:numPr>
          <w:ilvl w:val="0"/>
          <w:numId w:val="3"/>
        </w:numPr>
        <w:rPr>
          <w:szCs w:val="21"/>
        </w:rPr>
      </w:pPr>
      <w:r>
        <w:rPr>
          <w:szCs w:val="21"/>
        </w:rPr>
        <w:t xml:space="preserve">For other details, please refer to </w:t>
      </w:r>
      <w:r>
        <w:rPr>
          <w:iCs/>
          <w:szCs w:val="21"/>
          <w:lang w:eastAsia="zh-CN"/>
        </w:rPr>
        <w:t xml:space="preserve">Appendix </w:t>
      </w:r>
      <w:r>
        <w:rPr>
          <w:iCs/>
          <w:szCs w:val="21"/>
        </w:rPr>
        <w:t xml:space="preserve">5: </w:t>
      </w:r>
      <w:r>
        <w:rPr>
          <w:i/>
          <w:szCs w:val="21"/>
        </w:rPr>
        <w:t xml:space="preserve">Notice to Exhibitors </w:t>
      </w:r>
      <w:r>
        <w:rPr>
          <w:rFonts w:hint="eastAsia"/>
          <w:i/>
          <w:szCs w:val="21"/>
          <w:lang w:val="en-US" w:eastAsia="zh-CN"/>
        </w:rPr>
        <w:t>with</w:t>
      </w:r>
      <w:r>
        <w:rPr>
          <w:i/>
          <w:szCs w:val="21"/>
          <w:lang w:eastAsia="zh-CN"/>
        </w:rPr>
        <w:t xml:space="preserve"> </w:t>
      </w:r>
      <w:r>
        <w:rPr>
          <w:i/>
          <w:szCs w:val="21"/>
        </w:rPr>
        <w:t>Standard Booths</w:t>
      </w:r>
      <w:r>
        <w:rPr>
          <w:szCs w:val="21"/>
        </w:rPr>
        <w:t>.</w:t>
      </w:r>
    </w:p>
    <w:p>
      <w:pPr>
        <w:ind w:left="425"/>
        <w:rPr>
          <w:szCs w:val="21"/>
        </w:rPr>
      </w:pP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>3.2 Booth Size</w:t>
      </w:r>
    </w:p>
    <w:p>
      <w:pPr>
        <w:pStyle w:val="9"/>
        <w:rPr>
          <w:szCs w:val="21"/>
          <w:lang w:eastAsia="zh-CN"/>
        </w:rPr>
      </w:pPr>
      <w:r>
        <w:rPr>
          <w:szCs w:val="21"/>
        </w:rPr>
        <w:t>Standard size: 2</w:t>
      </w:r>
      <w:r>
        <w:rPr>
          <w:szCs w:val="21"/>
          <w:lang w:eastAsia="zh-CN"/>
        </w:rPr>
        <w:t>,</w:t>
      </w:r>
      <w:r>
        <w:rPr>
          <w:szCs w:val="21"/>
        </w:rPr>
        <w:t>970 MM×2</w:t>
      </w:r>
      <w:r>
        <w:rPr>
          <w:szCs w:val="21"/>
          <w:lang w:eastAsia="zh-CN"/>
        </w:rPr>
        <w:t>,</w:t>
      </w:r>
      <w:r>
        <w:rPr>
          <w:szCs w:val="21"/>
        </w:rPr>
        <w:t>970 MM, total height 4</w:t>
      </w:r>
      <w:r>
        <w:rPr>
          <w:szCs w:val="21"/>
          <w:lang w:eastAsia="zh-CN"/>
        </w:rPr>
        <w:t>,</w:t>
      </w:r>
      <w:r>
        <w:rPr>
          <w:szCs w:val="21"/>
        </w:rPr>
        <w:t xml:space="preserve">000 MM, partition </w:t>
      </w:r>
      <w:r>
        <w:rPr>
          <w:szCs w:val="21"/>
          <w:lang w:eastAsia="zh-CN"/>
        </w:rPr>
        <w:t xml:space="preserve">wall </w:t>
      </w:r>
      <w:r>
        <w:rPr>
          <w:szCs w:val="21"/>
        </w:rPr>
        <w:t>height 2</w:t>
      </w:r>
      <w:r>
        <w:rPr>
          <w:szCs w:val="21"/>
          <w:lang w:eastAsia="zh-CN"/>
        </w:rPr>
        <w:t>,</w:t>
      </w:r>
      <w:r>
        <w:rPr>
          <w:szCs w:val="21"/>
        </w:rPr>
        <w:t>500 MM, distance from fascia board bottom to the floor 2</w:t>
      </w:r>
      <w:r>
        <w:rPr>
          <w:szCs w:val="21"/>
          <w:lang w:eastAsia="zh-CN"/>
        </w:rPr>
        <w:t>,</w:t>
      </w:r>
      <w:r>
        <w:rPr>
          <w:szCs w:val="21"/>
        </w:rPr>
        <w:t>450 MM, fascia board height 450 MM (including frame), fascia board length 1</w:t>
      </w:r>
      <w:r>
        <w:rPr>
          <w:szCs w:val="21"/>
          <w:lang w:eastAsia="zh-CN"/>
        </w:rPr>
        <w:t>,</w:t>
      </w:r>
      <w:r>
        <w:rPr>
          <w:szCs w:val="21"/>
        </w:rPr>
        <w:t>800 MM (including frame)</w:t>
      </w:r>
      <w:r>
        <w:rPr>
          <w:szCs w:val="21"/>
          <w:lang w:eastAsia="zh-CN"/>
        </w:rPr>
        <w:t>.</w:t>
      </w:r>
    </w:p>
    <w:p>
      <w:pPr>
        <w:pStyle w:val="9"/>
        <w:ind w:firstLine="0" w:firstLineChars="0"/>
        <w:rPr>
          <w:szCs w:val="21"/>
          <w:lang w:eastAsia="zh-CN"/>
        </w:rPr>
      </w:pP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>3.3 Basic Equipment</w:t>
      </w:r>
    </w:p>
    <w:p>
      <w:pPr>
        <w:pStyle w:val="9"/>
        <w:rPr>
          <w:szCs w:val="21"/>
          <w:lang w:eastAsia="zh-CN"/>
        </w:rPr>
      </w:pPr>
      <w:r>
        <w:rPr>
          <w:szCs w:val="21"/>
          <w:lang w:eastAsia="zh-CN"/>
        </w:rPr>
        <w:t>One</w:t>
      </w:r>
      <w:r>
        <w:rPr>
          <w:szCs w:val="21"/>
        </w:rPr>
        <w:t xml:space="preserve"> square table, </w:t>
      </w:r>
      <w:r>
        <w:rPr>
          <w:szCs w:val="21"/>
          <w:lang w:eastAsia="zh-CN"/>
        </w:rPr>
        <w:t>four</w:t>
      </w:r>
      <w:r>
        <w:rPr>
          <w:szCs w:val="21"/>
        </w:rPr>
        <w:t xml:space="preserve"> folding chairs,</w:t>
      </w:r>
      <w:r>
        <w:rPr>
          <w:szCs w:val="21"/>
          <w:lang w:eastAsia="zh-CN"/>
        </w:rPr>
        <w:t xml:space="preserve"> one</w:t>
      </w:r>
      <w:r>
        <w:rPr>
          <w:szCs w:val="21"/>
        </w:rPr>
        <w:t xml:space="preserve"> floor cabinet (1000*500*500H),</w:t>
      </w:r>
      <w:r>
        <w:rPr>
          <w:szCs w:val="21"/>
          <w:lang w:eastAsia="zh-CN"/>
        </w:rPr>
        <w:t xml:space="preserve"> one</w:t>
      </w:r>
      <w:r>
        <w:rPr>
          <w:szCs w:val="21"/>
        </w:rPr>
        <w:t xml:space="preserve"> glass showcase (1000*500*2000H), </w:t>
      </w:r>
      <w:r>
        <w:rPr>
          <w:szCs w:val="21"/>
          <w:lang w:eastAsia="zh-CN"/>
        </w:rPr>
        <w:t>one</w:t>
      </w:r>
      <w:r>
        <w:rPr>
          <w:szCs w:val="21"/>
        </w:rPr>
        <w:t xml:space="preserve"> reception counter (1000*500*750H), </w:t>
      </w:r>
      <w:r>
        <w:rPr>
          <w:szCs w:val="21"/>
          <w:lang w:eastAsia="zh-CN"/>
        </w:rPr>
        <w:t>three</w:t>
      </w:r>
      <w:r>
        <w:rPr>
          <w:szCs w:val="21"/>
        </w:rPr>
        <w:t xml:space="preserve"> laminate</w:t>
      </w:r>
      <w:r>
        <w:rPr>
          <w:szCs w:val="21"/>
          <w:lang w:eastAsia="zh-CN"/>
        </w:rPr>
        <w:t xml:space="preserve"> panels</w:t>
      </w:r>
      <w:r>
        <w:rPr>
          <w:szCs w:val="21"/>
        </w:rPr>
        <w:t xml:space="preserve"> (for garment booths, the </w:t>
      </w:r>
      <w:r>
        <w:rPr>
          <w:szCs w:val="21"/>
          <w:lang w:eastAsia="zh-CN"/>
        </w:rPr>
        <w:t>three</w:t>
      </w:r>
      <w:r>
        <w:rPr>
          <w:szCs w:val="21"/>
        </w:rPr>
        <w:t xml:space="preserve"> laminate</w:t>
      </w:r>
      <w:r>
        <w:rPr>
          <w:szCs w:val="21"/>
          <w:lang w:eastAsia="zh-CN"/>
        </w:rPr>
        <w:t xml:space="preserve"> panels</w:t>
      </w:r>
      <w:r>
        <w:rPr>
          <w:szCs w:val="21"/>
        </w:rPr>
        <w:t xml:space="preserve"> will be replaced by 2</w:t>
      </w:r>
      <w:r>
        <w:rPr>
          <w:szCs w:val="21"/>
          <w:lang w:eastAsia="zh-CN"/>
        </w:rPr>
        <w:t>,</w:t>
      </w:r>
      <w:r>
        <w:rPr>
          <w:szCs w:val="21"/>
        </w:rPr>
        <w:t xml:space="preserve">440H*950 slot plates and 16 hooks), </w:t>
      </w:r>
      <w:r>
        <w:rPr>
          <w:szCs w:val="21"/>
          <w:lang w:eastAsia="zh-CN"/>
        </w:rPr>
        <w:t xml:space="preserve">four </w:t>
      </w:r>
      <w:r>
        <w:rPr>
          <w:szCs w:val="21"/>
        </w:rPr>
        <w:t xml:space="preserve">LED spotlights, </w:t>
      </w:r>
      <w:r>
        <w:rPr>
          <w:szCs w:val="21"/>
          <w:lang w:eastAsia="zh-CN"/>
        </w:rPr>
        <w:t xml:space="preserve">one </w:t>
      </w:r>
      <w:r>
        <w:rPr>
          <w:szCs w:val="21"/>
        </w:rPr>
        <w:t xml:space="preserve">500W socket (Chinese standard) and </w:t>
      </w:r>
      <w:r>
        <w:rPr>
          <w:szCs w:val="21"/>
          <w:lang w:eastAsia="zh-CN"/>
        </w:rPr>
        <w:t>one</w:t>
      </w:r>
      <w:r>
        <w:rPr>
          <w:szCs w:val="21"/>
        </w:rPr>
        <w:t xml:space="preserve"> trash can. </w:t>
      </w:r>
    </w:p>
    <w:p>
      <w:pPr>
        <w:pStyle w:val="9"/>
        <w:ind w:firstLine="0" w:firstLineChars="0"/>
        <w:rPr>
          <w:szCs w:val="21"/>
          <w:lang w:eastAsia="zh-CN"/>
        </w:rPr>
      </w:pPr>
    </w:p>
    <w:p>
      <w:pPr>
        <w:pStyle w:val="3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 xml:space="preserve">Booth </w:t>
      </w:r>
      <w:r>
        <w:rPr>
          <w:rFonts w:hAnsi="Times New Roman"/>
          <w:b/>
          <w:sz w:val="21"/>
          <w:szCs w:val="21"/>
          <w:lang w:eastAsia="zh-CN"/>
        </w:rPr>
        <w:t>Layout</w:t>
      </w:r>
    </w:p>
    <w:p>
      <w:pPr>
        <w:pStyle w:val="3"/>
        <w:widowControl/>
        <w:spacing w:before="0" w:beforeAutospacing="0" w:after="0" w:afterAutospacing="0"/>
        <w:ind w:left="360"/>
        <w:jc w:val="both"/>
        <w:rPr>
          <w:rFonts w:hAnsi="Times New Roman"/>
          <w:b/>
          <w:bCs/>
          <w:sz w:val="21"/>
          <w:szCs w:val="21"/>
        </w:rPr>
      </w:pPr>
      <w:r>
        <w:pict>
          <v:shape id="艺术字 4" o:spid="_x0000_s1026" o:spt="136" type="#_x0000_t136" style="position:absolute;left:0pt;margin-left:56.5pt;margin-top:5.6pt;height:16.9pt;width:96.4pt;z-index:251658240;mso-width-relative:page;mso-height-relative:page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Standard Booth for Apparels" style="font-family:Times New Roman;font-size:16pt;v-text-align:center;"/>
          </v:shape>
        </w:pict>
      </w:r>
      <w:r>
        <w:pict>
          <v:shape id="艺术字 13" o:spid="_x0000_s1028" o:spt="136" type="#_x0000_t136" style="position:absolute;left:0pt;margin-left:273.75pt;margin-top:9.15pt;height:13.35pt;width:109.6pt;z-index:251658240;mso-width-relative:page;mso-height-relative:page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Standard Booth for Others" style="font-family:Times New Roman;font-size:16pt;v-text-align:center;"/>
          </v:shape>
        </w:pict>
      </w:r>
    </w:p>
    <w:p>
      <w:pPr>
        <w:pStyle w:val="3"/>
        <w:widowControl/>
        <w:spacing w:before="0" w:beforeAutospacing="0" w:after="0" w:afterAutospacing="0"/>
        <w:ind w:left="425"/>
        <w:jc w:val="both"/>
        <w:rPr>
          <w:rFonts w:hAnsi="Times New Roman"/>
          <w:b/>
          <w:bCs/>
          <w:sz w:val="21"/>
          <w:szCs w:val="21"/>
          <w:lang w:val="en-US"/>
        </w:rPr>
      </w:pPr>
      <w:r>
        <w:rPr>
          <w:rFonts w:hint="eastAsia" w:hAnsi="Times New Roman" w:eastAsia="宋体"/>
          <w:b/>
          <w:bCs/>
          <w:sz w:val="21"/>
          <w:szCs w:val="21"/>
          <w:lang w:eastAsia="zh-CN"/>
        </w:rPr>
        <w:drawing>
          <wp:inline distT="0" distB="0" distL="114300" distR="114300">
            <wp:extent cx="2048510" cy="2509520"/>
            <wp:effectExtent l="0" t="0" r="8890" b="5080"/>
            <wp:docPr id="2" name="图片 2" descr="微信图片_2018070314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7031411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hAnsi="Times New Roman"/>
          <w:b/>
          <w:bCs/>
          <w:sz w:val="21"/>
          <w:szCs w:val="21"/>
          <w:lang w:val="en-US" w:eastAsia="zh-CN"/>
        </w:rPr>
        <w:t xml:space="preserve">            </w:t>
      </w:r>
      <w:r>
        <w:rPr>
          <w:rFonts w:hint="eastAsia" w:hAnsi="Times New Roman" w:eastAsia="宋体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2012315" cy="2532380"/>
            <wp:effectExtent l="0" t="0" r="6985" b="1270"/>
            <wp:docPr id="3" name="图片 3" descr="无挂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无挂钩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widowControl/>
        <w:numPr>
          <w:ilvl w:val="0"/>
          <w:numId w:val="1"/>
        </w:numPr>
        <w:spacing w:before="0" w:beforeAutospacing="0" w:after="0" w:afterAutospacing="0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>Special Booth Design and Setup</w:t>
      </w: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 xml:space="preserve">4.1 </w:t>
      </w:r>
      <w:r>
        <w:rPr>
          <w:rFonts w:hAnsi="Times New Roman"/>
          <w:b/>
          <w:sz w:val="21"/>
          <w:szCs w:val="21"/>
          <w:lang w:eastAsia="zh-CN"/>
        </w:rPr>
        <w:t>Safety Responsibility Letter</w:t>
      </w:r>
    </w:p>
    <w:p>
      <w:pPr>
        <w:pStyle w:val="3"/>
        <w:widowControl/>
        <w:spacing w:before="0" w:beforeAutospacing="0" w:after="0" w:afterAutospacing="0"/>
        <w:ind w:firstLine="420"/>
        <w:jc w:val="both"/>
        <w:rPr>
          <w:rFonts w:hAnsi="Times New Roman"/>
          <w:sz w:val="21"/>
          <w:szCs w:val="21"/>
          <w:lang w:eastAsia="zh-CN"/>
        </w:rPr>
      </w:pPr>
      <w:r>
        <w:rPr>
          <w:rFonts w:hAnsi="Times New Roman"/>
          <w:sz w:val="21"/>
          <w:szCs w:val="21"/>
        </w:rPr>
        <w:t xml:space="preserve">In order to further strengthen </w:t>
      </w:r>
      <w:r>
        <w:rPr>
          <w:rFonts w:hAnsi="Times New Roman"/>
          <w:sz w:val="21"/>
          <w:szCs w:val="21"/>
          <w:lang w:eastAsia="zh-CN"/>
        </w:rPr>
        <w:t xml:space="preserve">work </w:t>
      </w:r>
      <w:r>
        <w:rPr>
          <w:rFonts w:hAnsi="Times New Roman"/>
          <w:sz w:val="21"/>
          <w:szCs w:val="21"/>
        </w:rPr>
        <w:t xml:space="preserve">safety at the </w:t>
      </w:r>
      <w:r>
        <w:rPr>
          <w:rFonts w:hint="eastAsia" w:hAnsi="Times New Roman"/>
          <w:sz w:val="21"/>
          <w:szCs w:val="21"/>
          <w:lang w:eastAsia="zh-CN"/>
        </w:rPr>
        <w:t>Expo</w:t>
      </w:r>
      <w:r>
        <w:rPr>
          <w:rFonts w:hAnsi="Times New Roman"/>
          <w:sz w:val="21"/>
          <w:szCs w:val="21"/>
        </w:rPr>
        <w:t xml:space="preserve">, the </w:t>
      </w:r>
      <w:r>
        <w:rPr>
          <w:rFonts w:hint="eastAsia" w:hAnsi="Times New Roman"/>
          <w:sz w:val="21"/>
          <w:szCs w:val="21"/>
          <w:lang w:eastAsia="zh-CN"/>
        </w:rPr>
        <w:t>Organizers</w:t>
      </w:r>
      <w:r>
        <w:rPr>
          <w:rFonts w:hAnsi="Times New Roman"/>
          <w:sz w:val="21"/>
          <w:szCs w:val="21"/>
        </w:rPr>
        <w:t xml:space="preserve"> have drawn up the</w:t>
      </w:r>
      <w:r>
        <w:rPr>
          <w:rFonts w:hAnsi="Times New Roman"/>
          <w:sz w:val="21"/>
          <w:szCs w:val="21"/>
          <w:lang w:eastAsia="zh-CN"/>
        </w:rPr>
        <w:t xml:space="preserve"> Safety Responsibility Letter for</w:t>
      </w:r>
      <w:r>
        <w:rPr>
          <w:rFonts w:hAnsi="Times New Roman"/>
          <w:sz w:val="21"/>
          <w:szCs w:val="21"/>
        </w:rPr>
        <w:t xml:space="preserve"> Special Booth, which shall be signed by all special booth constructors and submitted to the official constructor prior to September </w:t>
      </w:r>
      <w:r>
        <w:rPr>
          <w:rFonts w:hAnsi="Times New Roman"/>
          <w:sz w:val="21"/>
          <w:szCs w:val="21"/>
          <w:lang w:eastAsia="zh-CN"/>
        </w:rPr>
        <w:t>15</w:t>
      </w:r>
      <w:r>
        <w:rPr>
          <w:rFonts w:hAnsi="Times New Roman"/>
          <w:sz w:val="21"/>
          <w:szCs w:val="21"/>
          <w:vertAlign w:val="superscript"/>
        </w:rPr>
        <w:t>th</w:t>
      </w:r>
      <w:r>
        <w:rPr>
          <w:rFonts w:hAnsi="Times New Roman"/>
          <w:sz w:val="21"/>
          <w:szCs w:val="21"/>
        </w:rPr>
        <w:t xml:space="preserve">, 2018. For more information, please refer to </w:t>
      </w:r>
      <w:r>
        <w:rPr>
          <w:rFonts w:hAnsi="Times New Roman"/>
          <w:iCs/>
          <w:sz w:val="21"/>
          <w:szCs w:val="21"/>
          <w:lang w:eastAsia="zh-CN"/>
        </w:rPr>
        <w:t xml:space="preserve">Form </w:t>
      </w:r>
      <w:r>
        <w:rPr>
          <w:rFonts w:hAnsi="Times New Roman"/>
          <w:iCs/>
          <w:sz w:val="21"/>
          <w:szCs w:val="21"/>
        </w:rPr>
        <w:t>13:</w:t>
      </w:r>
      <w:r>
        <w:rPr>
          <w:rFonts w:hAnsi="Times New Roman"/>
          <w:i/>
          <w:sz w:val="21"/>
          <w:szCs w:val="21"/>
        </w:rPr>
        <w:t xml:space="preserve"> Special Booth Safety Responsibility Letter</w:t>
      </w:r>
      <w:r>
        <w:rPr>
          <w:rFonts w:hAnsi="Times New Roman"/>
          <w:sz w:val="21"/>
          <w:szCs w:val="21"/>
        </w:rPr>
        <w:t>.</w:t>
      </w: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sz w:val="21"/>
          <w:szCs w:val="21"/>
          <w:lang w:eastAsia="zh-CN"/>
        </w:rPr>
      </w:pP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>4.2 Recommended Special Booth Constructors</w:t>
      </w:r>
    </w:p>
    <w:p>
      <w:pPr>
        <w:ind w:firstLine="420"/>
        <w:rPr>
          <w:szCs w:val="21"/>
          <w:lang w:eastAsia="zh-CN"/>
        </w:rPr>
      </w:pPr>
      <w:r>
        <w:rPr>
          <w:szCs w:val="21"/>
        </w:rPr>
        <w:t xml:space="preserve">In order to strengthen work safety control of special booths and ensure the </w:t>
      </w:r>
      <w:r>
        <w:rPr>
          <w:rFonts w:hint="eastAsia"/>
          <w:szCs w:val="21"/>
          <w:lang w:eastAsia="zh-CN"/>
        </w:rPr>
        <w:t>Organizers</w:t>
      </w:r>
      <w:r>
        <w:rPr>
          <w:szCs w:val="21"/>
        </w:rPr>
        <w:t xml:space="preserve"> and venue’s relevant rules and requirements on work safety are strictly observed in</w:t>
      </w:r>
      <w:r>
        <w:rPr>
          <w:szCs w:val="21"/>
          <w:lang w:eastAsia="zh-CN"/>
        </w:rPr>
        <w:t xml:space="preserve"> the</w:t>
      </w:r>
      <w:r>
        <w:rPr>
          <w:szCs w:val="21"/>
        </w:rPr>
        <w:t xml:space="preserve"> booth setup, dismantling and maintenance during the </w:t>
      </w:r>
      <w:r>
        <w:rPr>
          <w:rFonts w:hint="eastAsia"/>
          <w:szCs w:val="21"/>
          <w:lang w:eastAsia="zh-CN"/>
        </w:rPr>
        <w:t>Expo</w:t>
      </w:r>
      <w:r>
        <w:rPr>
          <w:szCs w:val="21"/>
        </w:rPr>
        <w:t xml:space="preserve">, the </w:t>
      </w:r>
      <w:r>
        <w:rPr>
          <w:rFonts w:hint="eastAsia"/>
          <w:szCs w:val="21"/>
          <w:lang w:eastAsia="zh-CN"/>
        </w:rPr>
        <w:t>Organizers</w:t>
      </w:r>
      <w:r>
        <w:rPr>
          <w:szCs w:val="21"/>
        </w:rPr>
        <w:t xml:space="preserve"> specially recommend experienced special booth constructors</w:t>
      </w:r>
      <w:r>
        <w:rPr>
          <w:szCs w:val="21"/>
          <w:lang w:eastAsia="zh-CN"/>
        </w:rPr>
        <w:t xml:space="preserve"> with good credential and strict management system</w:t>
      </w:r>
      <w:r>
        <w:rPr>
          <w:szCs w:val="21"/>
        </w:rPr>
        <w:t xml:space="preserve"> for exhibitors</w:t>
      </w:r>
      <w:r>
        <w:rPr>
          <w:szCs w:val="21"/>
          <w:lang w:eastAsia="zh-CN"/>
        </w:rPr>
        <w:t>’ option</w:t>
      </w:r>
      <w:r>
        <w:rPr>
          <w:szCs w:val="21"/>
        </w:rPr>
        <w:t xml:space="preserve">. For more details, please refer to </w:t>
      </w:r>
      <w:r>
        <w:rPr>
          <w:iCs/>
          <w:szCs w:val="21"/>
          <w:lang w:eastAsia="zh-CN"/>
        </w:rPr>
        <w:t xml:space="preserve">Appendix </w:t>
      </w:r>
      <w:r>
        <w:rPr>
          <w:iCs/>
          <w:szCs w:val="21"/>
        </w:rPr>
        <w:t>6:</w:t>
      </w:r>
      <w:r>
        <w:rPr>
          <w:i/>
          <w:szCs w:val="21"/>
        </w:rPr>
        <w:t xml:space="preserve"> List of Recommended Special Booth Constructors</w:t>
      </w:r>
      <w:r>
        <w:rPr>
          <w:szCs w:val="21"/>
        </w:rPr>
        <w:t>.</w:t>
      </w:r>
    </w:p>
    <w:p>
      <w:pPr>
        <w:spacing w:line="270" w:lineRule="atLeast"/>
        <w:ind w:firstLine="420"/>
        <w:rPr>
          <w:szCs w:val="21"/>
          <w:lang w:eastAsia="zh-CN"/>
        </w:rPr>
      </w:pPr>
      <w:r>
        <w:rPr>
          <w:szCs w:val="21"/>
        </w:rPr>
        <w:t xml:space="preserve">Any exhibitor who wishes to </w:t>
      </w:r>
      <w:r>
        <w:rPr>
          <w:szCs w:val="21"/>
          <w:lang w:eastAsia="zh-CN"/>
        </w:rPr>
        <w:t>take</w:t>
      </w:r>
      <w:r>
        <w:rPr>
          <w:szCs w:val="21"/>
        </w:rPr>
        <w:t xml:space="preserve"> </w:t>
      </w:r>
      <w:r>
        <w:rPr>
          <w:szCs w:val="21"/>
          <w:lang w:eastAsia="zh-CN"/>
        </w:rPr>
        <w:t>hi</w:t>
      </w:r>
      <w:r>
        <w:rPr>
          <w:szCs w:val="21"/>
        </w:rPr>
        <w:t>s</w:t>
      </w:r>
      <w:r>
        <w:rPr>
          <w:szCs w:val="21"/>
          <w:lang w:eastAsia="zh-CN"/>
        </w:rPr>
        <w:t xml:space="preserve">/her </w:t>
      </w:r>
      <w:r>
        <w:rPr>
          <w:szCs w:val="21"/>
        </w:rPr>
        <w:t xml:space="preserve">own special booth constructor </w:t>
      </w:r>
      <w:r>
        <w:rPr>
          <w:szCs w:val="21"/>
          <w:lang w:eastAsia="zh-CN"/>
        </w:rPr>
        <w:t xml:space="preserve">in the venue </w:t>
      </w:r>
      <w:r>
        <w:rPr>
          <w:szCs w:val="21"/>
        </w:rPr>
        <w:t xml:space="preserve">shall submit an application to the </w:t>
      </w:r>
      <w:r>
        <w:rPr>
          <w:rFonts w:hint="eastAsia"/>
          <w:szCs w:val="21"/>
          <w:lang w:eastAsia="zh-CN"/>
        </w:rPr>
        <w:t>Organizers</w:t>
      </w:r>
      <w:r>
        <w:rPr>
          <w:szCs w:val="21"/>
        </w:rPr>
        <w:t xml:space="preserve"> prior to </w:t>
      </w:r>
      <w:r>
        <w:rPr>
          <w:szCs w:val="21"/>
          <w:lang w:eastAsia="zh-CN"/>
        </w:rPr>
        <w:t>July</w:t>
      </w:r>
      <w:r>
        <w:rPr>
          <w:szCs w:val="21"/>
        </w:rPr>
        <w:t xml:space="preserve"> 31</w:t>
      </w:r>
      <w:r>
        <w:rPr>
          <w:szCs w:val="21"/>
          <w:vertAlign w:val="superscript"/>
        </w:rPr>
        <w:t>st</w:t>
      </w:r>
      <w:r>
        <w:rPr>
          <w:szCs w:val="21"/>
        </w:rPr>
        <w:t xml:space="preserve">, 2018. Please </w:t>
      </w:r>
      <w:r>
        <w:rPr>
          <w:szCs w:val="21"/>
          <w:lang w:eastAsia="zh-CN"/>
        </w:rPr>
        <w:t xml:space="preserve">refer to </w:t>
      </w:r>
      <w:r>
        <w:rPr>
          <w:iCs/>
          <w:szCs w:val="21"/>
          <w:lang w:eastAsia="zh-CN"/>
        </w:rPr>
        <w:t xml:space="preserve">Form </w:t>
      </w:r>
      <w:r>
        <w:rPr>
          <w:iCs/>
          <w:szCs w:val="21"/>
        </w:rPr>
        <w:t>14:</w:t>
      </w:r>
      <w:r>
        <w:rPr>
          <w:i/>
          <w:szCs w:val="21"/>
        </w:rPr>
        <w:t xml:space="preserve"> Application for </w:t>
      </w:r>
      <w:r>
        <w:rPr>
          <w:i/>
          <w:szCs w:val="21"/>
          <w:lang w:eastAsia="zh-CN"/>
        </w:rPr>
        <w:t>BYO</w:t>
      </w:r>
      <w:r>
        <w:rPr>
          <w:rStyle w:val="5"/>
          <w:i/>
          <w:szCs w:val="21"/>
          <w:lang w:eastAsia="zh-CN"/>
        </w:rPr>
        <w:footnoteReference w:id="0"/>
      </w:r>
      <w:r>
        <w:rPr>
          <w:i/>
          <w:szCs w:val="21"/>
        </w:rPr>
        <w:t xml:space="preserve"> Special Booth Constructor</w:t>
      </w:r>
      <w:r>
        <w:rPr>
          <w:szCs w:val="21"/>
        </w:rPr>
        <w:t xml:space="preserve"> for details. If the application is accepted, the exhibitor or its own special booth constructor shall sign a </w:t>
      </w:r>
      <w:r>
        <w:rPr>
          <w:i/>
          <w:szCs w:val="21"/>
        </w:rPr>
        <w:t>Special Booth Safety Responsibility Letter</w:t>
      </w:r>
      <w:r>
        <w:rPr>
          <w:szCs w:val="21"/>
        </w:rPr>
        <w:t xml:space="preserve"> and submit it </w:t>
      </w:r>
      <w:r>
        <w:rPr>
          <w:szCs w:val="21"/>
          <w:lang w:eastAsia="zh-CN"/>
        </w:rPr>
        <w:t xml:space="preserve">to </w:t>
      </w:r>
      <w:r>
        <w:rPr>
          <w:szCs w:val="21"/>
        </w:rPr>
        <w:t>the official constructor of the exhibit</w:t>
      </w:r>
      <w:r>
        <w:rPr>
          <w:szCs w:val="21"/>
          <w:lang w:eastAsia="zh-CN"/>
        </w:rPr>
        <w:t xml:space="preserve">ion </w:t>
      </w:r>
      <w:r>
        <w:rPr>
          <w:szCs w:val="21"/>
        </w:rPr>
        <w:t xml:space="preserve">area prior to September </w:t>
      </w:r>
      <w:r>
        <w:rPr>
          <w:szCs w:val="21"/>
          <w:lang w:eastAsia="zh-CN"/>
        </w:rPr>
        <w:t>1</w:t>
      </w:r>
      <w:r>
        <w:rPr>
          <w:szCs w:val="21"/>
        </w:rPr>
        <w:t>5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, 2018. For more information, please refer to </w:t>
      </w:r>
      <w:r>
        <w:rPr>
          <w:iCs/>
          <w:szCs w:val="21"/>
          <w:lang w:eastAsia="zh-CN"/>
        </w:rPr>
        <w:t xml:space="preserve">Form </w:t>
      </w:r>
      <w:r>
        <w:rPr>
          <w:iCs/>
          <w:szCs w:val="21"/>
        </w:rPr>
        <w:t>13:</w:t>
      </w:r>
      <w:r>
        <w:rPr>
          <w:i/>
          <w:szCs w:val="21"/>
        </w:rPr>
        <w:t xml:space="preserve"> Special Booth Safety Responsibility Letter</w:t>
      </w:r>
      <w:r>
        <w:rPr>
          <w:szCs w:val="21"/>
        </w:rPr>
        <w:t xml:space="preserve">. </w:t>
      </w:r>
      <w:r>
        <w:rPr>
          <w:szCs w:val="21"/>
          <w:lang w:eastAsia="zh-CN"/>
        </w:rPr>
        <w:t>Furthermore</w:t>
      </w:r>
      <w:r>
        <w:rPr>
          <w:szCs w:val="21"/>
        </w:rPr>
        <w:t xml:space="preserve">, the exhibitor or </w:t>
      </w:r>
      <w:r>
        <w:rPr>
          <w:szCs w:val="21"/>
          <w:lang w:eastAsia="zh-CN"/>
        </w:rPr>
        <w:t>his/her</w:t>
      </w:r>
      <w:r>
        <w:rPr>
          <w:szCs w:val="21"/>
        </w:rPr>
        <w:t xml:space="preserve"> own special booth constructor shall pay a site deposit to the </w:t>
      </w:r>
      <w:r>
        <w:rPr>
          <w:rFonts w:hint="eastAsia"/>
          <w:szCs w:val="21"/>
          <w:lang w:eastAsia="zh-CN"/>
        </w:rPr>
        <w:t>Organizers</w:t>
      </w:r>
      <w:r>
        <w:rPr>
          <w:szCs w:val="21"/>
        </w:rPr>
        <w:t xml:space="preserve"> within 15 days after receiving the notice that the application is accepted (The deposit shall be returned</w:t>
      </w:r>
      <w:r>
        <w:rPr>
          <w:szCs w:val="21"/>
          <w:lang w:eastAsia="zh-CN"/>
        </w:rPr>
        <w:t xml:space="preserve"> without interest attached</w:t>
      </w:r>
      <w:r>
        <w:rPr>
          <w:szCs w:val="21"/>
        </w:rPr>
        <w:t xml:space="preserve"> if there are no damages to the facilities at the site after the </w:t>
      </w:r>
      <w:r>
        <w:rPr>
          <w:rFonts w:hint="eastAsia"/>
          <w:szCs w:val="21"/>
          <w:lang w:eastAsia="zh-CN"/>
        </w:rPr>
        <w:t>Expo</w:t>
      </w:r>
      <w:r>
        <w:rPr>
          <w:szCs w:val="21"/>
        </w:rPr>
        <w:t xml:space="preserve"> ends). The site deposit shall be paid at the rate of RMB500/m</w:t>
      </w:r>
      <w:r>
        <w:rPr>
          <w:szCs w:val="21"/>
          <w:vertAlign w:val="superscript"/>
        </w:rPr>
        <w:t>2</w:t>
      </w:r>
      <w:r>
        <w:rPr>
          <w:szCs w:val="21"/>
        </w:rPr>
        <w:t xml:space="preserve"> (net area) but not more than RMB300,000 for each booth.</w:t>
      </w:r>
    </w:p>
    <w:p>
      <w:pPr>
        <w:spacing w:line="270" w:lineRule="atLeast"/>
        <w:rPr>
          <w:szCs w:val="21"/>
          <w:lang w:eastAsia="zh-CN"/>
        </w:rPr>
      </w:pP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>4.3 Notice to Exhibitors with Special Booths</w:t>
      </w:r>
    </w:p>
    <w:p>
      <w:pPr>
        <w:pStyle w:val="9"/>
        <w:ind w:firstLineChars="0"/>
        <w:rPr>
          <w:szCs w:val="21"/>
          <w:lang w:eastAsia="zh-CN"/>
        </w:rPr>
      </w:pPr>
      <w:r>
        <w:rPr>
          <w:szCs w:val="21"/>
        </w:rPr>
        <w:t xml:space="preserve">Exhibitors shall entrust </w:t>
      </w:r>
      <w:r>
        <w:rPr>
          <w:szCs w:val="21"/>
          <w:lang w:eastAsia="zh-CN"/>
        </w:rPr>
        <w:t xml:space="preserve">the </w:t>
      </w:r>
      <w:r>
        <w:rPr>
          <w:szCs w:val="21"/>
        </w:rPr>
        <w:t xml:space="preserve">recommended or </w:t>
      </w:r>
      <w:r>
        <w:rPr>
          <w:szCs w:val="21"/>
          <w:lang w:eastAsia="zh-CN"/>
        </w:rPr>
        <w:t xml:space="preserve">the </w:t>
      </w:r>
      <w:r>
        <w:rPr>
          <w:szCs w:val="21"/>
        </w:rPr>
        <w:t xml:space="preserve">approved special booth constructors to take charge of booth design and setup. The </w:t>
      </w:r>
      <w:r>
        <w:rPr>
          <w:rFonts w:hint="eastAsia"/>
          <w:szCs w:val="21"/>
          <w:lang w:eastAsia="zh-CN"/>
        </w:rPr>
        <w:t>Expo</w:t>
      </w:r>
      <w:r>
        <w:rPr>
          <w:szCs w:val="21"/>
        </w:rPr>
        <w:t xml:space="preserve"> and drawing inspectors will not accept</w:t>
      </w:r>
      <w:r>
        <w:rPr>
          <w:szCs w:val="21"/>
          <w:lang w:eastAsia="zh-CN"/>
        </w:rPr>
        <w:t xml:space="preserve"> any</w:t>
      </w:r>
      <w:r>
        <w:rPr>
          <w:szCs w:val="21"/>
        </w:rPr>
        <w:t xml:space="preserve"> drawings submitted by special booth constructors that </w:t>
      </w:r>
      <w:r>
        <w:rPr>
          <w:szCs w:val="21"/>
          <w:lang w:eastAsia="zh-CN"/>
        </w:rPr>
        <w:t>failed</w:t>
      </w:r>
      <w:r>
        <w:rPr>
          <w:szCs w:val="21"/>
        </w:rPr>
        <w:t xml:space="preserve"> </w:t>
      </w:r>
      <w:r>
        <w:rPr>
          <w:szCs w:val="21"/>
          <w:lang w:eastAsia="zh-CN"/>
        </w:rPr>
        <w:t xml:space="preserve">the </w:t>
      </w:r>
      <w:r>
        <w:rPr>
          <w:szCs w:val="21"/>
        </w:rPr>
        <w:t xml:space="preserve">qualification review. Special booth constructors shall abide by the rules of the </w:t>
      </w:r>
      <w:r>
        <w:rPr>
          <w:i/>
          <w:szCs w:val="21"/>
        </w:rPr>
        <w:t>Notice to Exhibitors with Special Booths</w:t>
      </w:r>
      <w:r>
        <w:rPr>
          <w:szCs w:val="21"/>
        </w:rPr>
        <w:t xml:space="preserve"> during booth design and setup. Please </w:t>
      </w:r>
      <w:r>
        <w:rPr>
          <w:szCs w:val="21"/>
          <w:lang w:eastAsia="zh-CN"/>
        </w:rPr>
        <w:t>refer to</w:t>
      </w:r>
      <w:r>
        <w:rPr>
          <w:szCs w:val="21"/>
        </w:rPr>
        <w:t xml:space="preserve"> </w:t>
      </w:r>
      <w:r>
        <w:rPr>
          <w:iCs/>
          <w:szCs w:val="21"/>
          <w:lang w:eastAsia="zh-CN"/>
        </w:rPr>
        <w:t xml:space="preserve">Appendix </w:t>
      </w:r>
      <w:r>
        <w:rPr>
          <w:iCs/>
          <w:szCs w:val="21"/>
        </w:rPr>
        <w:t>7</w:t>
      </w:r>
      <w:r>
        <w:rPr>
          <w:iCs/>
          <w:szCs w:val="21"/>
          <w:lang w:eastAsia="zh-CN"/>
        </w:rPr>
        <w:t>:</w:t>
      </w:r>
      <w:r>
        <w:rPr>
          <w:i/>
          <w:szCs w:val="21"/>
          <w:lang w:eastAsia="zh-CN"/>
        </w:rPr>
        <w:t xml:space="preserve"> </w:t>
      </w:r>
      <w:r>
        <w:rPr>
          <w:i/>
          <w:szCs w:val="21"/>
        </w:rPr>
        <w:t>Notice to Exhibitors with Special Booths</w:t>
      </w:r>
      <w:r>
        <w:rPr>
          <w:szCs w:val="21"/>
        </w:rPr>
        <w:t xml:space="preserve"> for details.</w:t>
      </w:r>
    </w:p>
    <w:p>
      <w:pPr>
        <w:pStyle w:val="9"/>
        <w:ind w:firstLineChars="0"/>
        <w:rPr>
          <w:szCs w:val="21"/>
          <w:lang w:eastAsia="zh-CN"/>
        </w:rPr>
      </w:pPr>
      <w:r>
        <w:rPr>
          <w:szCs w:val="21"/>
        </w:rPr>
        <w:t xml:space="preserve">Any agreement or arrangement between </w:t>
      </w:r>
      <w:r>
        <w:rPr>
          <w:szCs w:val="21"/>
          <w:lang w:eastAsia="zh-CN"/>
        </w:rPr>
        <w:t>an</w:t>
      </w:r>
      <w:r>
        <w:rPr>
          <w:szCs w:val="21"/>
        </w:rPr>
        <w:t xml:space="preserve"> exhibitor and </w:t>
      </w:r>
      <w:r>
        <w:rPr>
          <w:szCs w:val="21"/>
          <w:lang w:eastAsia="zh-CN"/>
        </w:rPr>
        <w:t>a</w:t>
      </w:r>
      <w:r>
        <w:rPr>
          <w:szCs w:val="21"/>
        </w:rPr>
        <w:t xml:space="preserve"> special booth constructor is a contract between the two sides. In case of any accident or dispute, the two sides shall resort to legal means to resolve th</w:t>
      </w:r>
      <w:r>
        <w:rPr>
          <w:szCs w:val="21"/>
          <w:lang w:eastAsia="zh-CN"/>
        </w:rPr>
        <w:t>em</w:t>
      </w:r>
      <w:r>
        <w:rPr>
          <w:szCs w:val="21"/>
        </w:rPr>
        <w:t xml:space="preserve">, and the </w:t>
      </w:r>
      <w:r>
        <w:rPr>
          <w:rFonts w:hint="eastAsia"/>
          <w:szCs w:val="21"/>
          <w:lang w:eastAsia="zh-CN"/>
        </w:rPr>
        <w:t>Expo</w:t>
      </w:r>
      <w:r>
        <w:rPr>
          <w:szCs w:val="21"/>
        </w:rPr>
        <w:t xml:space="preserve"> will assume no liability.</w:t>
      </w:r>
    </w:p>
    <w:p>
      <w:pPr>
        <w:pStyle w:val="9"/>
        <w:ind w:firstLine="0" w:firstLineChars="0"/>
        <w:rPr>
          <w:szCs w:val="21"/>
          <w:lang w:eastAsia="zh-CN"/>
        </w:rPr>
      </w:pP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>4.4 Drawing Inspection</w:t>
      </w:r>
    </w:p>
    <w:p>
      <w:pPr>
        <w:pStyle w:val="9"/>
        <w:ind w:firstLineChars="0"/>
        <w:rPr>
          <w:szCs w:val="21"/>
          <w:lang w:eastAsia="zh-CN"/>
        </w:rPr>
      </w:pPr>
      <w:r>
        <w:rPr>
          <w:szCs w:val="21"/>
        </w:rPr>
        <w:t xml:space="preserve">To ensure the safety and stability of special booth setup and avoid any possible risk and hidden danger, the maximum height permitted for the booths at the </w:t>
      </w:r>
      <w:r>
        <w:rPr>
          <w:rFonts w:hint="eastAsia"/>
          <w:szCs w:val="21"/>
          <w:lang w:eastAsia="zh-CN"/>
        </w:rPr>
        <w:t>Expo</w:t>
      </w:r>
      <w:r>
        <w:rPr>
          <w:szCs w:val="21"/>
        </w:rPr>
        <w:t xml:space="preserve"> is 6 meters for </w:t>
      </w:r>
      <w:r>
        <w:rPr>
          <w:szCs w:val="21"/>
          <w:lang w:eastAsia="zh-CN"/>
        </w:rPr>
        <w:t>single</w:t>
      </w:r>
      <w:r>
        <w:rPr>
          <w:szCs w:val="21"/>
        </w:rPr>
        <w:t>-story booth</w:t>
      </w:r>
      <w:r>
        <w:rPr>
          <w:szCs w:val="21"/>
          <w:lang w:eastAsia="zh-CN"/>
        </w:rPr>
        <w:t xml:space="preserve">s </w:t>
      </w:r>
      <w:r>
        <w:rPr>
          <w:szCs w:val="21"/>
        </w:rPr>
        <w:t>and 8.5 meters for two-story booth</w:t>
      </w:r>
      <w:r>
        <w:rPr>
          <w:szCs w:val="21"/>
          <w:lang w:eastAsia="zh-CN"/>
        </w:rPr>
        <w:t>s</w:t>
      </w:r>
      <w:r>
        <w:rPr>
          <w:szCs w:val="21"/>
        </w:rPr>
        <w:t xml:space="preserve">. Exhibitors with special booths shall submit relevant documents to the official constructor of the venue for </w:t>
      </w:r>
      <w:r>
        <w:rPr>
          <w:szCs w:val="21"/>
          <w:lang w:eastAsia="zh-CN"/>
        </w:rPr>
        <w:t>examination and review</w:t>
      </w:r>
      <w:r>
        <w:rPr>
          <w:szCs w:val="21"/>
        </w:rPr>
        <w:t>. For two-story special booth</w:t>
      </w:r>
      <w:r>
        <w:rPr>
          <w:szCs w:val="21"/>
          <w:lang w:eastAsia="zh-CN"/>
        </w:rPr>
        <w:t>s</w:t>
      </w:r>
      <w:r>
        <w:rPr>
          <w:szCs w:val="21"/>
        </w:rPr>
        <w:t xml:space="preserve"> and single-story special booth</w:t>
      </w:r>
      <w:r>
        <w:rPr>
          <w:szCs w:val="21"/>
          <w:lang w:eastAsia="zh-CN"/>
        </w:rPr>
        <w:t>s</w:t>
      </w:r>
      <w:r>
        <w:rPr>
          <w:szCs w:val="21"/>
        </w:rPr>
        <w:t xml:space="preserve"> </w:t>
      </w:r>
      <w:r>
        <w:rPr>
          <w:szCs w:val="21"/>
          <w:lang w:eastAsia="zh-CN"/>
        </w:rPr>
        <w:t xml:space="preserve">that are </w:t>
      </w:r>
      <w:r>
        <w:rPr>
          <w:szCs w:val="21"/>
        </w:rPr>
        <w:t xml:space="preserve">taller than 4.5 m (inclusive), the exhibitors shall </w:t>
      </w:r>
      <w:r>
        <w:rPr>
          <w:szCs w:val="21"/>
          <w:lang w:eastAsia="zh-CN"/>
        </w:rPr>
        <w:t xml:space="preserve">also </w:t>
      </w:r>
      <w:r>
        <w:rPr>
          <w:szCs w:val="21"/>
        </w:rPr>
        <w:t xml:space="preserve">submit materials to the drawing inspector for height-based structural inspection. Exhibitors subject to height-based structural inspection shall pay for the </w:t>
      </w:r>
      <w:r>
        <w:rPr>
          <w:szCs w:val="21"/>
          <w:lang w:eastAsia="zh-CN"/>
        </w:rPr>
        <w:t xml:space="preserve">drawing </w:t>
      </w:r>
      <w:r>
        <w:rPr>
          <w:szCs w:val="21"/>
        </w:rPr>
        <w:t>inspection.</w:t>
      </w:r>
    </w:p>
    <w:p>
      <w:pPr>
        <w:pStyle w:val="9"/>
        <w:ind w:firstLineChars="0"/>
        <w:rPr>
          <w:szCs w:val="21"/>
        </w:rPr>
      </w:pPr>
      <w:r>
        <w:rPr>
          <w:b/>
          <w:szCs w:val="21"/>
        </w:rPr>
        <w:t xml:space="preserve">Official constructors </w:t>
      </w:r>
      <w:r>
        <w:rPr>
          <w:szCs w:val="21"/>
        </w:rPr>
        <w:t>will be in charge of inspecting the structure of single-story special booth</w:t>
      </w:r>
      <w:r>
        <w:rPr>
          <w:szCs w:val="21"/>
          <w:lang w:eastAsia="zh-CN"/>
        </w:rPr>
        <w:t>s</w:t>
      </w:r>
      <w:r>
        <w:rPr>
          <w:szCs w:val="21"/>
        </w:rPr>
        <w:t xml:space="preserve"> below 4.5 m(</w:t>
      </w:r>
      <w:r>
        <w:rPr>
          <w:szCs w:val="21"/>
          <w:lang w:eastAsia="zh-CN"/>
        </w:rPr>
        <w:t>ex</w:t>
      </w:r>
      <w:r>
        <w:rPr>
          <w:szCs w:val="21"/>
        </w:rPr>
        <w:t xml:space="preserve">clusive), and </w:t>
      </w:r>
      <w:r>
        <w:rPr>
          <w:szCs w:val="21"/>
          <w:lang w:eastAsia="zh-CN"/>
        </w:rPr>
        <w:t>file</w:t>
      </w:r>
      <w:r>
        <w:rPr>
          <w:szCs w:val="21"/>
        </w:rPr>
        <w:t xml:space="preserve"> the details of the materials of single-story special booths above 4.5 m (inclusive) and two-story special booths</w:t>
      </w:r>
      <w:r>
        <w:rPr>
          <w:szCs w:val="21"/>
          <w:lang w:eastAsia="zh-CN"/>
        </w:rPr>
        <w:t xml:space="preserve"> for the record</w:t>
      </w:r>
      <w:r>
        <w:rPr>
          <w:szCs w:val="21"/>
        </w:rPr>
        <w:t>.</w:t>
      </w:r>
    </w:p>
    <w:p>
      <w:pPr>
        <w:pStyle w:val="9"/>
        <w:ind w:firstLineChars="0"/>
        <w:rPr>
          <w:szCs w:val="21"/>
          <w:lang w:eastAsia="zh-CN"/>
        </w:rPr>
      </w:pPr>
      <w:r>
        <w:rPr>
          <w:b/>
          <w:szCs w:val="21"/>
        </w:rPr>
        <w:t>Drawing inspectors</w:t>
      </w:r>
      <w:r>
        <w:rPr>
          <w:szCs w:val="21"/>
        </w:rPr>
        <w:t xml:space="preserve"> will be in charge of inspecting the structure of single-story special booths above 4.5 m (inclusive) and two-story special booths, and shall </w:t>
      </w:r>
      <w:r>
        <w:rPr>
          <w:szCs w:val="21"/>
          <w:lang w:eastAsia="zh-CN"/>
        </w:rPr>
        <w:t>collect the inspection fee.</w:t>
      </w:r>
    </w:p>
    <w:p>
      <w:pPr>
        <w:pStyle w:val="9"/>
        <w:ind w:firstLine="0" w:firstLineChars="0"/>
        <w:rPr>
          <w:szCs w:val="21"/>
        </w:rPr>
      </w:pPr>
    </w:p>
    <w:p>
      <w:pPr>
        <w:pStyle w:val="3"/>
        <w:widowControl/>
        <w:numPr>
          <w:ilvl w:val="2"/>
          <w:numId w:val="5"/>
        </w:numPr>
        <w:spacing w:before="0" w:beforeAutospacing="0" w:after="0" w:afterAutospacing="0"/>
        <w:jc w:val="both"/>
        <w:rPr>
          <w:rFonts w:hAnsi="Times New Roman"/>
          <w:b/>
          <w:sz w:val="21"/>
          <w:szCs w:val="21"/>
          <w:lang w:eastAsia="zh-CN"/>
        </w:rPr>
      </w:pPr>
      <w:r>
        <w:rPr>
          <w:rFonts w:hAnsi="Times New Roman"/>
          <w:b/>
          <w:sz w:val="21"/>
          <w:szCs w:val="21"/>
        </w:rPr>
        <w:t>Official Drawing Inspectors</w:t>
      </w:r>
    </w:p>
    <w:tbl>
      <w:tblPr>
        <w:tblStyle w:val="6"/>
        <w:tblW w:w="73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616"/>
        <w:gridCol w:w="2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Responsible</w:t>
            </w:r>
            <w:r>
              <w:rPr>
                <w:color w:val="00B0F0"/>
                <w:szCs w:val="21"/>
                <w:lang w:eastAsia="zh-CN"/>
              </w:rPr>
              <w:t xml:space="preserve"> </w:t>
            </w:r>
            <w:r>
              <w:rPr>
                <w:szCs w:val="21"/>
              </w:rPr>
              <w:t>Area</w:t>
            </w:r>
            <w:r>
              <w:rPr>
                <w:szCs w:val="21"/>
                <w:lang w:eastAsia="zh-CN"/>
              </w:rPr>
              <w:t>: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5.1H/6.1H/5.2H/7.1H/7.2H/8.2H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1H/2H/3H/4.1H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Chinese </w:t>
            </w:r>
            <w:r>
              <w:rPr>
                <w:szCs w:val="21"/>
              </w:rPr>
              <w:t>Name</w:t>
            </w:r>
            <w:r>
              <w:rPr>
                <w:szCs w:val="21"/>
                <w:lang w:eastAsia="zh-CN"/>
              </w:rPr>
              <w:t>: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上海海展广告工程有限公司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上海亚海恒欣会展有限公司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  <w:lang w:eastAsia="zh-CN"/>
              </w:rPr>
            </w:pPr>
            <w:r>
              <w:rPr>
                <w:szCs w:val="21"/>
              </w:rPr>
              <w:t>English Name</w:t>
            </w:r>
            <w:r>
              <w:rPr>
                <w:szCs w:val="21"/>
                <w:lang w:eastAsia="zh-CN"/>
              </w:rPr>
              <w:t>: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  <w:lang w:eastAsia="zh-CN"/>
              </w:rPr>
            </w:pPr>
            <w:r>
              <w:rPr>
                <w:szCs w:val="21"/>
              </w:rPr>
              <w:t>SHANGHAI HIGH-FAIR ADVERTISING &amp; ENGINEERING CO.,</w:t>
            </w: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</w:rPr>
              <w:t>LTD</w:t>
            </w:r>
            <w:r>
              <w:rPr>
                <w:szCs w:val="21"/>
                <w:lang w:eastAsia="zh-CN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SHANGHAI ASEA HENGXIN CONVENTION &amp; EXHIBITION CO.,</w:t>
            </w: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</w:rPr>
              <w:t>LTD.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  <w:lang w:eastAsia="zh-CN"/>
              </w:rPr>
            </w:pPr>
            <w:r>
              <w:rPr>
                <w:szCs w:val="21"/>
              </w:rPr>
              <w:t>Address</w:t>
            </w:r>
            <w:r>
              <w:rPr>
                <w:szCs w:val="21"/>
                <w:lang w:eastAsia="zh-CN"/>
              </w:rPr>
              <w:t>: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  <w:lang w:eastAsia="zh-CN"/>
              </w:rPr>
              <w:t>4</w:t>
            </w:r>
            <w:r>
              <w:rPr>
                <w:szCs w:val="21"/>
                <w:vertAlign w:val="superscript"/>
                <w:lang w:eastAsia="zh-CN"/>
              </w:rPr>
              <w:t>th</w:t>
            </w: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</w:rPr>
              <w:t>Floor, Exhibition Hall #3, NECC</w:t>
            </w:r>
            <w:r>
              <w:rPr>
                <w:szCs w:val="21"/>
                <w:lang w:eastAsia="zh-CN"/>
              </w:rPr>
              <w:t xml:space="preserve"> (</w:t>
            </w:r>
            <w:r>
              <w:rPr>
                <w:szCs w:val="21"/>
              </w:rPr>
              <w:t>Shanghai</w:t>
            </w:r>
            <w:r>
              <w:rPr>
                <w:szCs w:val="21"/>
                <w:lang w:eastAsia="zh-CN"/>
              </w:rPr>
              <w:t>),</w:t>
            </w:r>
            <w:r>
              <w:rPr>
                <w:szCs w:val="21"/>
              </w:rPr>
              <w:t xml:space="preserve"> No. 1988, Zhuguang Road, Qingpu District, Shanghai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West Zone, </w:t>
            </w:r>
            <w:r>
              <w:rPr>
                <w:szCs w:val="21"/>
                <w:lang w:eastAsia="zh-CN"/>
              </w:rPr>
              <w:t>5</w:t>
            </w:r>
            <w:r>
              <w:rPr>
                <w:szCs w:val="21"/>
                <w:vertAlign w:val="superscript"/>
                <w:lang w:eastAsia="zh-CN"/>
              </w:rPr>
              <w:t>th</w:t>
            </w: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</w:rPr>
              <w:t>Floor, South Building</w:t>
            </w:r>
            <w:r>
              <w:rPr>
                <w:szCs w:val="21"/>
                <w:lang w:eastAsia="zh-CN"/>
              </w:rPr>
              <w:t xml:space="preserve"> D</w:t>
            </w:r>
            <w:r>
              <w:rPr>
                <w:szCs w:val="21"/>
              </w:rPr>
              <w:t>, No.</w:t>
            </w: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</w:rPr>
              <w:t>787, Xiehe Road, Changning District, Shanghai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Contact 1: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Li Jingfeng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  <w:lang w:eastAsia="zh-CN"/>
              </w:rPr>
              <w:t xml:space="preserve">Chu </w:t>
            </w:r>
            <w:r>
              <w:rPr>
                <w:szCs w:val="21"/>
              </w:rPr>
              <w:t>Shunshun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Tel: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+86-21-67008967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+86-21-67008969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Mobile: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13824411285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18616576611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Contact 2: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Yu Le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Jia Fengqiao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Tel: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+86-21-67008968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+86-21-67008970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Mobile: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13922251667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15902199806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Contact 3: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Han Xiaolei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Tel: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+86-21-67008968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Mobile: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13710015934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FF0000"/>
                <w:szCs w:val="21"/>
              </w:rPr>
            </w:pPr>
            <w:r>
              <w:rPr>
                <w:szCs w:val="21"/>
              </w:rPr>
              <w:t>Email: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01inspector@ciie.org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02inspector@ciie.org</w:t>
            </w:r>
          </w:p>
        </w:tc>
      </w:tr>
    </w:tbl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b/>
          <w:sz w:val="21"/>
          <w:szCs w:val="21"/>
          <w:lang w:eastAsia="zh-CN"/>
        </w:rPr>
      </w:pP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>4.4.2 Notice on Drawing Inspection</w:t>
      </w:r>
    </w:p>
    <w:p>
      <w:pPr>
        <w:pStyle w:val="9"/>
        <w:numPr>
          <w:ilvl w:val="0"/>
          <w:numId w:val="6"/>
        </w:numPr>
        <w:ind w:firstLineChars="0"/>
        <w:rPr>
          <w:szCs w:val="21"/>
        </w:rPr>
      </w:pPr>
      <w:r>
        <w:rPr>
          <w:szCs w:val="21"/>
        </w:rPr>
        <w:t xml:space="preserve">Exhibitors with special booths shall submit a special booth setup application and relevant </w:t>
      </w:r>
      <w:r>
        <w:rPr>
          <w:szCs w:val="21"/>
          <w:lang w:eastAsia="zh-CN"/>
        </w:rPr>
        <w:t>materials</w:t>
      </w:r>
      <w:r>
        <w:rPr>
          <w:szCs w:val="21"/>
        </w:rPr>
        <w:t xml:space="preserve"> to the official constructor of the venue prior to September </w:t>
      </w:r>
      <w:r>
        <w:rPr>
          <w:szCs w:val="21"/>
          <w:lang w:eastAsia="zh-CN"/>
        </w:rPr>
        <w:t>1</w:t>
      </w:r>
      <w:r>
        <w:rPr>
          <w:szCs w:val="21"/>
        </w:rPr>
        <w:t>5</w:t>
      </w:r>
      <w:r>
        <w:rPr>
          <w:szCs w:val="21"/>
          <w:vertAlign w:val="superscript"/>
        </w:rPr>
        <w:t>th</w:t>
      </w:r>
      <w:r>
        <w:rPr>
          <w:szCs w:val="21"/>
        </w:rPr>
        <w:t>, 201</w:t>
      </w:r>
      <w:r>
        <w:rPr>
          <w:szCs w:val="21"/>
          <w:lang w:eastAsia="zh-CN"/>
        </w:rPr>
        <w:t>8</w:t>
      </w:r>
      <w:r>
        <w:rPr>
          <w:szCs w:val="21"/>
        </w:rPr>
        <w:t xml:space="preserve">. For two-story special booths and single-story special booths taller than 4.5 m (inclusive), the exhibitors shall submit materials to </w:t>
      </w:r>
      <w:r>
        <w:rPr>
          <w:szCs w:val="21"/>
          <w:lang w:eastAsia="zh-CN"/>
        </w:rPr>
        <w:t xml:space="preserve">both </w:t>
      </w:r>
      <w:r>
        <w:rPr>
          <w:szCs w:val="21"/>
        </w:rPr>
        <w:t xml:space="preserve">the official constructor and the official drawing inspector for inspection. Please refer to </w:t>
      </w:r>
      <w:r>
        <w:rPr>
          <w:iCs/>
          <w:szCs w:val="21"/>
        </w:rPr>
        <w:t xml:space="preserve">Form 15: </w:t>
      </w:r>
      <w:r>
        <w:rPr>
          <w:i/>
          <w:szCs w:val="21"/>
        </w:rPr>
        <w:t>Application for Special Booth Setup</w:t>
      </w:r>
      <w:r>
        <w:rPr>
          <w:szCs w:val="21"/>
        </w:rPr>
        <w:t xml:space="preserve"> for details.</w:t>
      </w:r>
    </w:p>
    <w:p>
      <w:pPr>
        <w:pStyle w:val="9"/>
        <w:ind w:left="425" w:firstLine="0" w:firstLineChars="0"/>
        <w:rPr>
          <w:szCs w:val="21"/>
        </w:rPr>
      </w:pPr>
    </w:p>
    <w:p>
      <w:pPr>
        <w:pStyle w:val="9"/>
        <w:numPr>
          <w:ilvl w:val="0"/>
          <w:numId w:val="6"/>
        </w:numPr>
        <w:ind w:firstLineChars="0"/>
        <w:rPr>
          <w:szCs w:val="21"/>
        </w:rPr>
      </w:pPr>
      <w:r>
        <w:rPr>
          <w:szCs w:val="21"/>
          <w:lang w:eastAsia="zh-CN"/>
        </w:rPr>
        <w:t xml:space="preserve">Calculation of </w:t>
      </w:r>
      <w:r>
        <w:rPr>
          <w:szCs w:val="21"/>
        </w:rPr>
        <w:t>booth drawing inspection fee: drawing inspection fee/m</w:t>
      </w:r>
      <w:r>
        <w:rPr>
          <w:szCs w:val="21"/>
          <w:vertAlign w:val="superscript"/>
        </w:rPr>
        <w:t>2</w:t>
      </w:r>
      <w:r>
        <w:rPr>
          <w:szCs w:val="21"/>
        </w:rPr>
        <w:t xml:space="preserve"> × booth area. </w:t>
      </w:r>
      <w:r>
        <w:rPr>
          <w:szCs w:val="21"/>
          <w:lang w:eastAsia="zh-CN"/>
        </w:rPr>
        <w:t>Unit price of d</w:t>
      </w:r>
      <w:r>
        <w:rPr>
          <w:szCs w:val="21"/>
        </w:rPr>
        <w:t>rawing</w:t>
      </w:r>
      <w:r>
        <w:rPr>
          <w:szCs w:val="21"/>
          <w:lang w:eastAsia="zh-CN"/>
        </w:rPr>
        <w:t xml:space="preserve"> </w:t>
      </w:r>
      <w:r>
        <w:rPr>
          <w:szCs w:val="21"/>
        </w:rPr>
        <w:t>inspection: drawing inspection fee for indoor two-story booths</w:t>
      </w:r>
      <w:r>
        <w:rPr>
          <w:szCs w:val="21"/>
          <w:lang w:eastAsia="zh-CN"/>
        </w:rPr>
        <w:t xml:space="preserve"> is</w:t>
      </w:r>
      <w:r>
        <w:rPr>
          <w:szCs w:val="21"/>
        </w:rPr>
        <w:t xml:space="preserve"> RMB25/m</w:t>
      </w:r>
      <w:r>
        <w:rPr>
          <w:szCs w:val="21"/>
          <w:vertAlign w:val="superscript"/>
        </w:rPr>
        <w:t>2</w:t>
      </w:r>
      <w:r>
        <w:rPr>
          <w:szCs w:val="21"/>
        </w:rPr>
        <w:t>; drawing inspection fee for indoor single-story booths</w:t>
      </w:r>
      <w:r>
        <w:rPr>
          <w:szCs w:val="21"/>
          <w:lang w:eastAsia="zh-CN"/>
        </w:rPr>
        <w:t xml:space="preserve"> is </w:t>
      </w:r>
      <w:r>
        <w:rPr>
          <w:szCs w:val="21"/>
        </w:rPr>
        <w:t>RMB20/m</w:t>
      </w:r>
      <w:r>
        <w:rPr>
          <w:szCs w:val="21"/>
          <w:vertAlign w:val="superscript"/>
        </w:rPr>
        <w:t>2</w:t>
      </w:r>
      <w:r>
        <w:rPr>
          <w:szCs w:val="21"/>
        </w:rPr>
        <w:t>; drawing inspection fee for outdoor two-story booths</w:t>
      </w:r>
      <w:r>
        <w:rPr>
          <w:szCs w:val="21"/>
          <w:lang w:eastAsia="zh-CN"/>
        </w:rPr>
        <w:t xml:space="preserve"> is</w:t>
      </w:r>
      <w:r>
        <w:rPr>
          <w:szCs w:val="21"/>
        </w:rPr>
        <w:t xml:space="preserve"> RMB30/m</w:t>
      </w:r>
      <w:r>
        <w:rPr>
          <w:szCs w:val="21"/>
          <w:vertAlign w:val="superscript"/>
        </w:rPr>
        <w:t>2</w:t>
      </w:r>
      <w:r>
        <w:rPr>
          <w:szCs w:val="21"/>
        </w:rPr>
        <w:t>; drawing inspection fee for outdoor single-story booths</w:t>
      </w:r>
      <w:r>
        <w:rPr>
          <w:szCs w:val="21"/>
          <w:lang w:eastAsia="zh-CN"/>
        </w:rPr>
        <w:t xml:space="preserve"> is</w:t>
      </w:r>
      <w:r>
        <w:rPr>
          <w:szCs w:val="21"/>
        </w:rPr>
        <w:t xml:space="preserve"> RMB25/m</w:t>
      </w:r>
      <w:r>
        <w:rPr>
          <w:szCs w:val="21"/>
          <w:vertAlign w:val="superscript"/>
        </w:rPr>
        <w:t>2</w:t>
      </w:r>
      <w:r>
        <w:rPr>
          <w:szCs w:val="21"/>
        </w:rPr>
        <w:t>. Charg</w:t>
      </w:r>
      <w:r>
        <w:rPr>
          <w:szCs w:val="21"/>
          <w:lang w:eastAsia="zh-CN"/>
        </w:rPr>
        <w:t>ed</w:t>
      </w:r>
      <w:r>
        <w:rPr>
          <w:szCs w:val="21"/>
        </w:rPr>
        <w:t xml:space="preserve"> area for drawing inspection: single-story booth charg</w:t>
      </w:r>
      <w:r>
        <w:rPr>
          <w:szCs w:val="21"/>
          <w:lang w:eastAsia="zh-CN"/>
        </w:rPr>
        <w:t>ed</w:t>
      </w:r>
      <w:r>
        <w:rPr>
          <w:szCs w:val="21"/>
        </w:rPr>
        <w:t xml:space="preserve"> area = booth area; two-story booth charg</w:t>
      </w:r>
      <w:r>
        <w:rPr>
          <w:szCs w:val="21"/>
          <w:lang w:eastAsia="zh-CN"/>
        </w:rPr>
        <w:t>ed</w:t>
      </w:r>
      <w:r>
        <w:rPr>
          <w:szCs w:val="21"/>
        </w:rPr>
        <w:t xml:space="preserve"> area = the area of upper story + the load-bearing area of</w:t>
      </w:r>
      <w:r>
        <w:rPr>
          <w:szCs w:val="21"/>
          <w:lang w:eastAsia="zh-CN"/>
        </w:rPr>
        <w:t xml:space="preserve"> the</w:t>
      </w:r>
      <w:r>
        <w:rPr>
          <w:szCs w:val="21"/>
        </w:rPr>
        <w:t xml:space="preserve"> base floor </w:t>
      </w:r>
      <w:r>
        <w:rPr>
          <w:szCs w:val="21"/>
          <w:lang w:eastAsia="zh-CN"/>
        </w:rPr>
        <w:t>caused by</w:t>
      </w:r>
      <w:r>
        <w:rPr>
          <w:szCs w:val="21"/>
        </w:rPr>
        <w:t xml:space="preserve"> </w:t>
      </w:r>
      <w:r>
        <w:rPr>
          <w:szCs w:val="21"/>
          <w:lang w:eastAsia="zh-CN"/>
        </w:rPr>
        <w:t xml:space="preserve">that of </w:t>
      </w:r>
      <w:r>
        <w:rPr>
          <w:szCs w:val="21"/>
        </w:rPr>
        <w:t>the upper st</w:t>
      </w:r>
      <w:r>
        <w:rPr>
          <w:szCs w:val="21"/>
          <w:lang w:eastAsia="zh-CN"/>
        </w:rPr>
        <w:t>ructure</w:t>
      </w:r>
      <w:r>
        <w:rPr>
          <w:szCs w:val="21"/>
        </w:rPr>
        <w:t>.</w:t>
      </w:r>
    </w:p>
    <w:p>
      <w:pPr>
        <w:pStyle w:val="9"/>
        <w:numPr>
          <w:ilvl w:val="0"/>
          <w:numId w:val="0"/>
        </w:numPr>
        <w:ind w:leftChars="0"/>
        <w:rPr>
          <w:szCs w:val="21"/>
        </w:rPr>
      </w:pPr>
    </w:p>
    <w:p>
      <w:pPr>
        <w:pStyle w:val="3"/>
        <w:widowControl/>
        <w:spacing w:before="0" w:beforeAutospacing="0" w:after="0" w:afterAutospacing="0"/>
        <w:jc w:val="both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>4.5 Standards of Green Booths</w:t>
      </w:r>
    </w:p>
    <w:p>
      <w:pPr>
        <w:pStyle w:val="3"/>
        <w:widowControl/>
        <w:spacing w:before="0" w:beforeAutospacing="0" w:after="0" w:afterAutospacing="0"/>
        <w:ind w:firstLine="420"/>
        <w:jc w:val="both"/>
        <w:rPr>
          <w:rFonts w:hAnsi="Times New Roman"/>
          <w:sz w:val="21"/>
          <w:szCs w:val="21"/>
          <w:lang w:eastAsia="zh-CN"/>
        </w:rPr>
      </w:pPr>
      <w:r>
        <w:rPr>
          <w:rFonts w:hAnsi="Times New Roman"/>
          <w:sz w:val="21"/>
          <w:szCs w:val="21"/>
        </w:rPr>
        <w:t xml:space="preserve">To advocate the idea of </w:t>
      </w:r>
      <w:r>
        <w:rPr>
          <w:rFonts w:hAnsi="Times New Roman"/>
          <w:sz w:val="21"/>
          <w:szCs w:val="21"/>
          <w:lang w:eastAsia="zh-CN"/>
        </w:rPr>
        <w:t xml:space="preserve">green and </w:t>
      </w:r>
      <w:r>
        <w:rPr>
          <w:rFonts w:hAnsi="Times New Roman"/>
          <w:sz w:val="21"/>
          <w:szCs w:val="21"/>
        </w:rPr>
        <w:t xml:space="preserve">environmental protection, the </w:t>
      </w:r>
      <w:r>
        <w:rPr>
          <w:rFonts w:hint="eastAsia" w:hAnsi="Times New Roman"/>
          <w:sz w:val="21"/>
          <w:szCs w:val="21"/>
          <w:lang w:eastAsia="zh-CN"/>
        </w:rPr>
        <w:t>Expo</w:t>
      </w:r>
      <w:r>
        <w:rPr>
          <w:rFonts w:hAnsi="Times New Roman"/>
          <w:sz w:val="21"/>
          <w:szCs w:val="21"/>
        </w:rPr>
        <w:t xml:space="preserve"> has especially established the</w:t>
      </w:r>
      <w:r>
        <w:rPr>
          <w:rFonts w:hAnsi="Times New Roman"/>
          <w:sz w:val="21"/>
          <w:szCs w:val="21"/>
          <w:lang w:eastAsia="zh-CN"/>
        </w:rPr>
        <w:t xml:space="preserve"> </w:t>
      </w:r>
      <w:r>
        <w:rPr>
          <w:rFonts w:hAnsi="Times New Roman"/>
          <w:i/>
          <w:iCs/>
          <w:sz w:val="21"/>
          <w:szCs w:val="21"/>
          <w:lang w:eastAsia="zh-CN"/>
        </w:rPr>
        <w:t>Criteria</w:t>
      </w:r>
      <w:r>
        <w:rPr>
          <w:rFonts w:hAnsi="Times New Roman"/>
          <w:i/>
          <w:iCs/>
          <w:sz w:val="21"/>
          <w:szCs w:val="21"/>
        </w:rPr>
        <w:t xml:space="preserve"> f</w:t>
      </w:r>
      <w:r>
        <w:rPr>
          <w:rFonts w:hAnsi="Times New Roman"/>
          <w:i/>
          <w:sz w:val="21"/>
          <w:szCs w:val="21"/>
        </w:rPr>
        <w:t>or</w:t>
      </w:r>
      <w:r>
        <w:rPr>
          <w:rFonts w:hAnsi="Times New Roman"/>
          <w:i/>
          <w:sz w:val="21"/>
          <w:szCs w:val="21"/>
          <w:lang w:eastAsia="zh-CN"/>
        </w:rPr>
        <w:t xml:space="preserve"> </w:t>
      </w:r>
      <w:r>
        <w:rPr>
          <w:rFonts w:hAnsi="Times New Roman"/>
          <w:i/>
          <w:sz w:val="21"/>
          <w:szCs w:val="21"/>
        </w:rPr>
        <w:t xml:space="preserve">Green China International Import </w:t>
      </w:r>
      <w:r>
        <w:rPr>
          <w:rFonts w:hint="eastAsia" w:hAnsi="Times New Roman"/>
          <w:i/>
          <w:sz w:val="21"/>
          <w:szCs w:val="21"/>
          <w:lang w:eastAsia="zh-CN"/>
        </w:rPr>
        <w:t>Expo</w:t>
      </w:r>
      <w:r>
        <w:rPr>
          <w:rFonts w:hAnsi="Times New Roman"/>
          <w:iCs/>
          <w:sz w:val="21"/>
          <w:szCs w:val="21"/>
          <w:lang w:eastAsia="zh-CN"/>
        </w:rPr>
        <w:t>, which</w:t>
      </w:r>
      <w:r>
        <w:rPr>
          <w:rFonts w:hAnsi="Times New Roman"/>
          <w:i/>
          <w:sz w:val="21"/>
          <w:szCs w:val="21"/>
          <w:lang w:eastAsia="zh-CN"/>
        </w:rPr>
        <w:t xml:space="preserve"> </w:t>
      </w:r>
      <w:r>
        <w:rPr>
          <w:rFonts w:hAnsi="Times New Roman"/>
          <w:sz w:val="21"/>
          <w:szCs w:val="21"/>
        </w:rPr>
        <w:t>include</w:t>
      </w:r>
      <w:r>
        <w:rPr>
          <w:rFonts w:hAnsi="Times New Roman"/>
          <w:sz w:val="21"/>
          <w:szCs w:val="21"/>
          <w:lang w:eastAsia="zh-CN"/>
        </w:rPr>
        <w:t>s</w:t>
      </w:r>
      <w:r>
        <w:rPr>
          <w:rFonts w:hAnsi="Times New Roman"/>
          <w:sz w:val="21"/>
          <w:szCs w:val="21"/>
        </w:rPr>
        <w:t xml:space="preserve"> green booth, green operation, green logistics and green catering. Specifically, relevant standards are formulated for three stages, i.e. green design, green material selection</w:t>
      </w:r>
      <w:r>
        <w:rPr>
          <w:rFonts w:hAnsi="Times New Roman"/>
          <w:sz w:val="21"/>
          <w:szCs w:val="21"/>
          <w:lang w:eastAsia="zh-CN"/>
        </w:rPr>
        <w:t>,</w:t>
      </w:r>
      <w:r>
        <w:rPr>
          <w:rFonts w:hAnsi="Times New Roman"/>
          <w:sz w:val="21"/>
          <w:szCs w:val="21"/>
        </w:rPr>
        <w:t xml:space="preserve"> and green safe</w:t>
      </w:r>
      <w:r>
        <w:rPr>
          <w:rFonts w:hAnsi="Times New Roman"/>
          <w:sz w:val="21"/>
          <w:szCs w:val="21"/>
          <w:lang w:eastAsia="zh-CN"/>
        </w:rPr>
        <w:t>ty</w:t>
      </w:r>
      <w:r>
        <w:rPr>
          <w:rFonts w:hAnsi="Times New Roman"/>
          <w:sz w:val="21"/>
          <w:szCs w:val="21"/>
        </w:rPr>
        <w:t xml:space="preserve"> construction. Exhibitors and constructors are advised to positively respond and </w:t>
      </w:r>
      <w:r>
        <w:rPr>
          <w:rFonts w:hAnsi="Times New Roman"/>
          <w:sz w:val="21"/>
          <w:szCs w:val="21"/>
          <w:lang w:eastAsia="zh-CN"/>
        </w:rPr>
        <w:t>work as per</w:t>
      </w:r>
      <w:r>
        <w:rPr>
          <w:rFonts w:hAnsi="Times New Roman"/>
          <w:sz w:val="21"/>
          <w:szCs w:val="21"/>
        </w:rPr>
        <w:t xml:space="preserve"> the </w:t>
      </w:r>
      <w:r>
        <w:rPr>
          <w:rFonts w:hAnsi="Times New Roman"/>
          <w:sz w:val="21"/>
          <w:szCs w:val="21"/>
          <w:lang w:eastAsia="zh-CN"/>
        </w:rPr>
        <w:t>green</w:t>
      </w:r>
      <w:r>
        <w:rPr>
          <w:rFonts w:hAnsi="Times New Roman"/>
          <w:sz w:val="21"/>
          <w:szCs w:val="21"/>
        </w:rPr>
        <w:t xml:space="preserve"> standards. Please </w:t>
      </w:r>
      <w:r>
        <w:rPr>
          <w:rFonts w:hAnsi="Times New Roman"/>
          <w:sz w:val="21"/>
          <w:szCs w:val="21"/>
          <w:lang w:eastAsia="zh-CN"/>
        </w:rPr>
        <w:t>refer to</w:t>
      </w:r>
      <w:r>
        <w:rPr>
          <w:rFonts w:hAnsi="Times New Roman"/>
          <w:i/>
          <w:szCs w:val="21"/>
          <w:lang w:eastAsia="zh-CN"/>
        </w:rPr>
        <w:t xml:space="preserve"> </w:t>
      </w:r>
      <w:r>
        <w:rPr>
          <w:rFonts w:hAnsi="Times New Roman"/>
          <w:iCs/>
          <w:sz w:val="21"/>
          <w:szCs w:val="21"/>
          <w:lang w:eastAsia="zh-CN"/>
        </w:rPr>
        <w:t>Appendix 8:</w:t>
      </w:r>
      <w:r>
        <w:rPr>
          <w:rFonts w:hAnsi="Times New Roman"/>
          <w:i/>
          <w:sz w:val="21"/>
          <w:szCs w:val="21"/>
          <w:lang w:eastAsia="zh-CN"/>
        </w:rPr>
        <w:t xml:space="preserve"> Criteria fo</w:t>
      </w:r>
      <w:r>
        <w:rPr>
          <w:rFonts w:hAnsi="Times New Roman"/>
          <w:i/>
          <w:sz w:val="21"/>
          <w:szCs w:val="21"/>
        </w:rPr>
        <w:t xml:space="preserve">r Green China International Import </w:t>
      </w:r>
      <w:r>
        <w:rPr>
          <w:rFonts w:hint="eastAsia" w:hAnsi="Times New Roman"/>
          <w:i/>
          <w:sz w:val="21"/>
          <w:szCs w:val="21"/>
          <w:lang w:eastAsia="zh-CN"/>
        </w:rPr>
        <w:t>Expo</w:t>
      </w:r>
      <w:r>
        <w:rPr>
          <w:rFonts w:hAnsi="Times New Roman"/>
          <w:i/>
          <w:sz w:val="21"/>
          <w:szCs w:val="21"/>
          <w:lang w:eastAsia="zh-CN"/>
        </w:rPr>
        <w:t xml:space="preserve"> </w:t>
      </w:r>
      <w:r>
        <w:rPr>
          <w:rFonts w:hAnsi="Times New Roman"/>
          <w:sz w:val="21"/>
          <w:szCs w:val="21"/>
        </w:rPr>
        <w:t>for details.</w:t>
      </w:r>
      <w:bookmarkStart w:id="0" w:name="_GoBack"/>
      <w:bookmarkEnd w:id="0"/>
    </w:p>
    <w:p>
      <w:pPr>
        <w:pStyle w:val="3"/>
        <w:widowControl/>
        <w:numPr>
          <w:ilvl w:val="0"/>
          <w:numId w:val="1"/>
        </w:numPr>
        <w:spacing w:before="0" w:beforeAutospacing="0" w:after="0" w:afterAutospacing="0"/>
        <w:rPr>
          <w:rFonts w:hAnsi="Times New Roman"/>
          <w:b/>
          <w:sz w:val="21"/>
          <w:szCs w:val="21"/>
        </w:rPr>
      </w:pPr>
      <w:r>
        <w:rPr>
          <w:rFonts w:hAnsi="Times New Roman"/>
          <w:b/>
          <w:sz w:val="21"/>
          <w:szCs w:val="21"/>
        </w:rPr>
        <w:t>Overtime</w:t>
      </w:r>
    </w:p>
    <w:p>
      <w:pPr>
        <w:ind w:firstLine="420"/>
        <w:rPr>
          <w:szCs w:val="21"/>
          <w:lang w:eastAsia="zh-CN"/>
        </w:rPr>
      </w:pPr>
      <w:r>
        <w:rPr>
          <w:szCs w:val="21"/>
        </w:rPr>
        <w:t xml:space="preserve">During move-in and move-out, </w:t>
      </w:r>
      <w:r>
        <w:rPr>
          <w:szCs w:val="21"/>
          <w:lang w:eastAsia="zh-CN"/>
        </w:rPr>
        <w:t>exhibitors</w:t>
      </w:r>
      <w:r>
        <w:rPr>
          <w:szCs w:val="21"/>
        </w:rPr>
        <w:t xml:space="preserve"> may work until 22:00 (10:00 p.m.) e</w:t>
      </w:r>
      <w:r>
        <w:rPr>
          <w:szCs w:val="21"/>
          <w:lang w:eastAsia="zh-CN"/>
        </w:rPr>
        <w:t>ach</w:t>
      </w:r>
      <w:r>
        <w:rPr>
          <w:szCs w:val="21"/>
        </w:rPr>
        <w:t xml:space="preserve"> day. In case </w:t>
      </w:r>
      <w:r>
        <w:rPr>
          <w:szCs w:val="21"/>
          <w:lang w:eastAsia="zh-CN"/>
        </w:rPr>
        <w:t>of any</w:t>
      </w:r>
      <w:r>
        <w:rPr>
          <w:szCs w:val="21"/>
        </w:rPr>
        <w:t xml:space="preserve"> need to work after 22:00, </w:t>
      </w:r>
      <w:r>
        <w:rPr>
          <w:szCs w:val="21"/>
          <w:lang w:eastAsia="zh-CN"/>
        </w:rPr>
        <w:t>the exhibitor</w:t>
      </w:r>
      <w:r>
        <w:rPr>
          <w:szCs w:val="21"/>
        </w:rPr>
        <w:t xml:space="preserve"> sh</w:t>
      </w:r>
      <w:r>
        <w:rPr>
          <w:szCs w:val="21"/>
          <w:lang w:eastAsia="zh-CN"/>
        </w:rPr>
        <w:t>all</w:t>
      </w:r>
      <w:r>
        <w:rPr>
          <w:szCs w:val="21"/>
        </w:rPr>
        <w:t xml:space="preserve"> submit an application to the </w:t>
      </w:r>
      <w:r>
        <w:rPr>
          <w:rFonts w:hint="eastAsia"/>
          <w:szCs w:val="21"/>
          <w:lang w:eastAsia="zh-CN"/>
        </w:rPr>
        <w:t>Expo</w:t>
      </w:r>
      <w:r>
        <w:rPr>
          <w:szCs w:val="21"/>
        </w:rPr>
        <w:t xml:space="preserve"> Service Center before 18:00 (6:00 p.m.) of the same day</w:t>
      </w:r>
      <w:r>
        <w:rPr>
          <w:szCs w:val="21"/>
          <w:lang w:eastAsia="zh-CN"/>
        </w:rPr>
        <w:t>. The exhibitor</w:t>
      </w:r>
      <w:r>
        <w:rPr>
          <w:szCs w:val="21"/>
        </w:rPr>
        <w:t xml:space="preserve"> may work </w:t>
      </w:r>
      <w:r>
        <w:rPr>
          <w:szCs w:val="21"/>
          <w:lang w:eastAsia="zh-CN"/>
        </w:rPr>
        <w:t>overtime</w:t>
      </w:r>
      <w:r>
        <w:rPr>
          <w:szCs w:val="21"/>
        </w:rPr>
        <w:t xml:space="preserve"> after obtaining the </w:t>
      </w:r>
      <w:r>
        <w:rPr>
          <w:rFonts w:hint="eastAsia"/>
          <w:szCs w:val="21"/>
          <w:lang w:eastAsia="zh-CN"/>
        </w:rPr>
        <w:t>Organizers</w:t>
      </w:r>
      <w:r>
        <w:rPr>
          <w:szCs w:val="21"/>
        </w:rPr>
        <w:t>’ approval.</w:t>
      </w:r>
    </w:p>
    <w:p>
      <w:pPr>
        <w:rPr>
          <w:b/>
          <w:bCs/>
          <w:szCs w:val="21"/>
          <w:lang w:eastAsia="zh-CN"/>
        </w:rPr>
      </w:pPr>
    </w:p>
    <w:p>
      <w:pPr>
        <w:pStyle w:val="3"/>
        <w:widowControl/>
        <w:numPr>
          <w:ilvl w:val="0"/>
          <w:numId w:val="1"/>
        </w:numPr>
        <w:spacing w:before="0" w:beforeAutospacing="0" w:after="0" w:afterAutospacing="0"/>
        <w:rPr>
          <w:rFonts w:hAnsi="Times New Roman"/>
          <w:b/>
          <w:bCs/>
          <w:sz w:val="21"/>
          <w:szCs w:val="21"/>
        </w:rPr>
      </w:pPr>
      <w:r>
        <w:rPr>
          <w:rFonts w:hAnsi="Times New Roman"/>
          <w:b/>
          <w:sz w:val="21"/>
          <w:szCs w:val="21"/>
        </w:rPr>
        <w:t>Site Acceptance</w:t>
      </w:r>
    </w:p>
    <w:p>
      <w:pPr>
        <w:widowControl/>
        <w:jc w:val="left"/>
        <w:rPr>
          <w:rFonts w:ascii="宋体" w:hAnsi="宋体" w:cs="宋体"/>
          <w:kern w:val="0"/>
          <w:sz w:val="24"/>
          <w:lang w:eastAsia="zh-CN"/>
        </w:rPr>
      </w:pPr>
      <w:r>
        <w:rPr>
          <w:szCs w:val="21"/>
        </w:rPr>
        <w:t xml:space="preserve">Booth constructors shall remove and </w:t>
      </w:r>
      <w:r>
        <w:rPr>
          <w:szCs w:val="21"/>
          <w:lang w:eastAsia="zh-CN"/>
        </w:rPr>
        <w:t>dismantle</w:t>
      </w:r>
      <w:r>
        <w:rPr>
          <w:szCs w:val="21"/>
        </w:rPr>
        <w:t xml:space="preserve"> all booth materials within the time</w:t>
      </w:r>
      <w:r>
        <w:rPr>
          <w:szCs w:val="21"/>
          <w:lang w:eastAsia="zh-CN"/>
        </w:rPr>
        <w:t xml:space="preserve">frame </w:t>
      </w:r>
      <w:r>
        <w:rPr>
          <w:szCs w:val="21"/>
        </w:rPr>
        <w:t xml:space="preserve">specified in the </w:t>
      </w:r>
      <w:r>
        <w:rPr>
          <w:rFonts w:hint="eastAsia"/>
          <w:i/>
          <w:szCs w:val="21"/>
          <w:lang w:eastAsia="zh-CN"/>
        </w:rPr>
        <w:t>Expo</w:t>
      </w:r>
      <w:r>
        <w:rPr>
          <w:i/>
          <w:szCs w:val="21"/>
        </w:rPr>
        <w:t xml:space="preserve"> </w:t>
      </w:r>
      <w:r>
        <w:rPr>
          <w:i/>
          <w:szCs w:val="21"/>
          <w:lang w:eastAsia="zh-CN"/>
        </w:rPr>
        <w:t>Agenda</w:t>
      </w:r>
      <w:r>
        <w:rPr>
          <w:i/>
          <w:szCs w:val="21"/>
        </w:rPr>
        <w:t xml:space="preserve"> </w:t>
      </w:r>
      <w:r>
        <w:rPr>
          <w:szCs w:val="21"/>
        </w:rPr>
        <w:t xml:space="preserve">in this </w:t>
      </w:r>
      <w:r>
        <w:rPr>
          <w:szCs w:val="21"/>
          <w:lang w:eastAsia="zh-CN"/>
        </w:rPr>
        <w:t>M</w:t>
      </w:r>
      <w:r>
        <w:rPr>
          <w:szCs w:val="21"/>
        </w:rPr>
        <w:t xml:space="preserve">anual and shall comply with all </w:t>
      </w:r>
      <w:r>
        <w:rPr>
          <w:szCs w:val="21"/>
          <w:lang w:eastAsia="zh-CN"/>
        </w:rPr>
        <w:t xml:space="preserve">concerned </w:t>
      </w:r>
      <w:r>
        <w:rPr>
          <w:szCs w:val="21"/>
        </w:rPr>
        <w:t xml:space="preserve">provisions </w:t>
      </w:r>
      <w:r>
        <w:rPr>
          <w:szCs w:val="21"/>
          <w:lang w:eastAsia="zh-CN"/>
        </w:rPr>
        <w:t xml:space="preserve">in </w:t>
      </w:r>
      <w:r>
        <w:rPr>
          <w:szCs w:val="21"/>
        </w:rPr>
        <w:t xml:space="preserve">this </w:t>
      </w:r>
      <w:r>
        <w:rPr>
          <w:szCs w:val="21"/>
          <w:lang w:eastAsia="zh-CN"/>
        </w:rPr>
        <w:t>M</w:t>
      </w:r>
      <w:r>
        <w:rPr>
          <w:szCs w:val="21"/>
        </w:rPr>
        <w:t>anual. For more details,</w:t>
      </w:r>
      <w:r>
        <w:rPr>
          <w:szCs w:val="21"/>
          <w:lang w:eastAsia="zh-CN"/>
        </w:rPr>
        <w:t xml:space="preserve"> </w:t>
      </w:r>
      <w:r>
        <w:rPr>
          <w:szCs w:val="21"/>
        </w:rPr>
        <w:t xml:space="preserve">please refer to the </w:t>
      </w:r>
      <w:r>
        <w:rPr>
          <w:i/>
          <w:szCs w:val="21"/>
        </w:rPr>
        <w:t>Rules and Regulations</w:t>
      </w:r>
      <w:r>
        <w:rPr>
          <w:szCs w:val="21"/>
        </w:rPr>
        <w:t xml:space="preserve"> </w:t>
      </w:r>
      <w:r>
        <w:rPr>
          <w:szCs w:val="21"/>
          <w:lang w:eastAsia="zh-CN"/>
        </w:rPr>
        <w:t>in</w:t>
      </w:r>
      <w:r>
        <w:rPr>
          <w:szCs w:val="21"/>
        </w:rPr>
        <w:t xml:space="preserve"> th</w:t>
      </w:r>
      <w:r>
        <w:rPr>
          <w:szCs w:val="21"/>
          <w:lang w:eastAsia="zh-CN"/>
        </w:rPr>
        <w:t>is</w:t>
      </w:r>
      <w:r>
        <w:rPr>
          <w:szCs w:val="21"/>
        </w:rPr>
        <w:t xml:space="preserve"> Manual.</w:t>
      </w:r>
      <w:r>
        <w:rPr>
          <w:rFonts w:hint="eastAsia" w:ascii="宋体" w:hAnsi="宋体" w:cs="宋体"/>
          <w:kern w:val="0"/>
          <w:sz w:val="24"/>
          <w:lang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  <w:rPr>
          <w:rFonts w:hint="eastAsia" w:ascii="Times New Roman" w:hAnsi="Times New Roman"/>
          <w:lang w:eastAsia="zh-CN"/>
        </w:rPr>
      </w:pPr>
      <w:r>
        <w:rPr>
          <w:rStyle w:val="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zh-CN"/>
        </w:rPr>
        <w:t>BYO = Bring Your Own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F1B"/>
    <w:multiLevelType w:val="multilevel"/>
    <w:tmpl w:val="016F1F1B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45EA6"/>
    <w:multiLevelType w:val="multilevel"/>
    <w:tmpl w:val="24F45EA6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5B3A27"/>
    <w:multiLevelType w:val="multilevel"/>
    <w:tmpl w:val="4E5B3A27"/>
    <w:lvl w:ilvl="0" w:tentative="0">
      <w:start w:val="3"/>
      <w:numFmt w:val="decimal"/>
      <w:lvlText w:val="%1"/>
      <w:lvlJc w:val="left"/>
      <w:pPr>
        <w:ind w:left="360" w:hanging="360"/>
      </w:pPr>
    </w:lvl>
    <w:lvl w:ilvl="1" w:tentative="0">
      <w:start w:val="4"/>
      <w:numFmt w:val="decimal"/>
      <w:lvlText w:val="%1.%2"/>
      <w:lvlJc w:val="left"/>
      <w:pPr>
        <w:ind w:left="360" w:hanging="360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720" w:hanging="720"/>
      </w:pPr>
    </w:lvl>
    <w:lvl w:ilvl="4" w:tentative="0">
      <w:start w:val="1"/>
      <w:numFmt w:val="decimal"/>
      <w:lvlText w:val="%1.%2.%3.%4.%5"/>
      <w:lvlJc w:val="left"/>
      <w:pPr>
        <w:ind w:left="1080" w:hanging="1080"/>
      </w:pPr>
    </w:lvl>
    <w:lvl w:ilvl="5" w:tentative="0">
      <w:start w:val="1"/>
      <w:numFmt w:val="decimal"/>
      <w:lvlText w:val="%1.%2.%3.%4.%5.%6"/>
      <w:lvlJc w:val="left"/>
      <w:pPr>
        <w:ind w:left="1080" w:hanging="1080"/>
      </w:pPr>
    </w:lvl>
    <w:lvl w:ilvl="6" w:tentative="0">
      <w:start w:val="1"/>
      <w:numFmt w:val="decimal"/>
      <w:lvlText w:val="%1.%2.%3.%4.%5.%6.%7"/>
      <w:lvlJc w:val="left"/>
      <w:pPr>
        <w:ind w:left="1080" w:hanging="1080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59957EB3"/>
    <w:multiLevelType w:val="multilevel"/>
    <w:tmpl w:val="59957EB3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3D28C2"/>
    <w:multiLevelType w:val="multilevel"/>
    <w:tmpl w:val="5A3D28C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3"/>
      <w:numFmt w:val="decimal"/>
      <w:isLgl/>
      <w:lvlText w:val="%1.%2"/>
      <w:lvlJc w:val="left"/>
      <w:pPr>
        <w:ind w:left="360" w:hanging="360"/>
      </w:pPr>
    </w:lvl>
    <w:lvl w:ilvl="2" w:tentative="0">
      <w:start w:val="1"/>
      <w:numFmt w:val="decimal"/>
      <w:isLgl/>
      <w:lvlText w:val="%1.%2.%3"/>
      <w:lvlJc w:val="left"/>
      <w:pPr>
        <w:ind w:left="720" w:hanging="720"/>
      </w:p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5">
    <w:nsid w:val="652A365B"/>
    <w:multiLevelType w:val="multilevel"/>
    <w:tmpl w:val="652A365B"/>
    <w:lvl w:ilvl="0" w:tentative="0">
      <w:start w:val="4"/>
      <w:numFmt w:val="decimal"/>
      <w:lvlText w:val="%1"/>
      <w:lvlJc w:val="left"/>
      <w:pPr>
        <w:ind w:left="435" w:hanging="435"/>
      </w:pPr>
    </w:lvl>
    <w:lvl w:ilvl="1" w:tentative="0">
      <w:start w:val="4"/>
      <w:numFmt w:val="decimal"/>
      <w:lvlText w:val="%1.%2"/>
      <w:lvlJc w:val="left"/>
      <w:pPr>
        <w:ind w:left="435" w:hanging="435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720" w:hanging="720"/>
      </w:pPr>
    </w:lvl>
    <w:lvl w:ilvl="4" w:tentative="0">
      <w:start w:val="1"/>
      <w:numFmt w:val="decimal"/>
      <w:lvlText w:val="%1.%2.%3.%4.%5"/>
      <w:lvlJc w:val="left"/>
      <w:pPr>
        <w:ind w:left="1080" w:hanging="1080"/>
      </w:pPr>
    </w:lvl>
    <w:lvl w:ilvl="5" w:tentative="0">
      <w:start w:val="1"/>
      <w:numFmt w:val="decimal"/>
      <w:lvlText w:val="%1.%2.%3.%4.%5.%6"/>
      <w:lvlJc w:val="left"/>
      <w:pPr>
        <w:ind w:left="1080" w:hanging="1080"/>
      </w:pPr>
    </w:lvl>
    <w:lvl w:ilvl="6" w:tentative="0">
      <w:start w:val="1"/>
      <w:numFmt w:val="decimal"/>
      <w:lvlText w:val="%1.%2.%3.%4.%5.%6.%7"/>
      <w:lvlJc w:val="left"/>
      <w:pPr>
        <w:ind w:left="1080" w:hanging="1080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BF"/>
    <w:rsid w:val="00274DBF"/>
    <w:rsid w:val="00974729"/>
    <w:rsid w:val="00C04E1F"/>
    <w:rsid w:val="089E3CE6"/>
    <w:rsid w:val="179F31C2"/>
    <w:rsid w:val="32AC068B"/>
    <w:rsid w:val="3420788D"/>
    <w:rsid w:val="374479E7"/>
    <w:rsid w:val="42F1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7"/>
    <w:semiHidden/>
    <w:unhideWhenUsed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hAnsi="Calibri"/>
      <w:sz w:val="24"/>
    </w:rPr>
  </w:style>
  <w:style w:type="character" w:styleId="5">
    <w:name w:val="footnote reference"/>
    <w:semiHidden/>
    <w:unhideWhenUsed/>
    <w:qFormat/>
    <w:uiPriority w:val="0"/>
    <w:rPr>
      <w:vertAlign w:val="superscript"/>
    </w:rPr>
  </w:style>
  <w:style w:type="character" w:customStyle="1" w:styleId="7">
    <w:name w:val="脚注文本 Char"/>
    <w:basedOn w:val="4"/>
    <w:link w:val="2"/>
    <w:semiHidden/>
    <w:qFormat/>
    <w:uiPriority w:val="0"/>
    <w:rPr>
      <w:rFonts w:ascii="Calibri" w:hAnsi="Calibri" w:eastAsia="宋体" w:cs="Times New Roman"/>
      <w:sz w:val="18"/>
      <w:szCs w:val="18"/>
      <w:lang w:eastAsia="en-US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彩色列表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1839</Words>
  <Characters>10487</Characters>
  <Lines>87</Lines>
  <Paragraphs>24</Paragraphs>
  <TotalTime>2</TotalTime>
  <ScaleCrop>false</ScaleCrop>
  <LinksUpToDate>false</LinksUpToDate>
  <CharactersWithSpaces>12302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2018-06-15T06:50:00Z</dcterms:created>
  <dc:creator>Adim</dc:creator>
  <cp:lastModifiedBy>GZJH</cp:lastModifiedBy>
  <dcterms:modified xsi:type="dcterms:W3CDTF">2018-07-03T06:50:24Z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