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28"/>
          <w:szCs w:val="28"/>
        </w:rPr>
      </w:pPr>
      <w:r>
        <w:rPr>
          <w:rFonts w:hint="eastAsia" w:ascii="宋体" w:hAnsi="宋体" w:eastAsia="宋体" w:cs="宋体"/>
          <w:b/>
          <w:sz w:val="28"/>
          <w:szCs w:val="28"/>
        </w:rPr>
        <w:t>《中国国际进口博览会参展商手册》</w:t>
      </w:r>
    </w:p>
    <w:p>
      <w:pPr>
        <w:jc w:val="center"/>
        <w:rPr>
          <w:rFonts w:ascii="宋体" w:hAnsi="宋体" w:eastAsia="宋体" w:cs="宋体"/>
          <w:b/>
          <w:sz w:val="28"/>
          <w:szCs w:val="28"/>
        </w:rPr>
      </w:pPr>
      <w:r>
        <w:rPr>
          <w:rFonts w:hint="eastAsia" w:ascii="宋体" w:hAnsi="宋体" w:eastAsia="宋体" w:cs="宋体"/>
          <w:b/>
          <w:sz w:val="28"/>
          <w:szCs w:val="28"/>
        </w:rPr>
        <w:t>企业商业展</w:t>
      </w:r>
    </w:p>
    <w:p>
      <w:pPr>
        <w:jc w:val="center"/>
        <w:rPr>
          <w:rFonts w:ascii="宋体" w:hAnsi="宋体" w:eastAsia="宋体" w:cs="宋体"/>
          <w:b/>
          <w:sz w:val="28"/>
          <w:szCs w:val="28"/>
        </w:rPr>
      </w:pPr>
      <w:r>
        <w:rPr>
          <w:rFonts w:hint="eastAsia" w:ascii="宋体" w:hAnsi="宋体" w:eastAsia="宋体" w:cs="宋体"/>
          <w:b/>
          <w:sz w:val="28"/>
          <w:szCs w:val="28"/>
        </w:rPr>
        <w:t>第六部分 附件2</w:t>
      </w:r>
      <w:r>
        <w:rPr>
          <w:rFonts w:hint="eastAsia" w:asciiTheme="minorEastAsia" w:hAnsiTheme="minorEastAsia" w:cstheme="minorEastAsia"/>
          <w:b/>
          <w:bCs/>
          <w:sz w:val="28"/>
          <w:szCs w:val="28"/>
        </w:rPr>
        <w:t>《安全生产管理须知》</w:t>
      </w:r>
    </w:p>
    <w:p>
      <w:pPr>
        <w:numPr>
          <w:ilvl w:val="0"/>
          <w:numId w:val="1"/>
        </w:numPr>
        <w:rPr>
          <w:rFonts w:asciiTheme="minorEastAsia" w:hAnsiTheme="minorEastAsia" w:cstheme="minorEastAsia"/>
          <w:b/>
          <w:bCs/>
          <w:sz w:val="28"/>
          <w:szCs w:val="28"/>
        </w:rPr>
      </w:pPr>
      <w:r>
        <w:rPr>
          <w:rFonts w:hint="eastAsia" w:asciiTheme="minorEastAsia" w:hAnsiTheme="minorEastAsia" w:cstheme="minorEastAsia"/>
          <w:b/>
          <w:bCs/>
          <w:sz w:val="28"/>
          <w:szCs w:val="28"/>
        </w:rPr>
        <w:t>总体要求</w:t>
      </w:r>
    </w:p>
    <w:p>
      <w:pPr>
        <w:numPr>
          <w:ilvl w:val="1"/>
          <w:numId w:val="2"/>
        </w:numPr>
        <w:rPr>
          <w:rFonts w:asciiTheme="minorEastAsia" w:hAnsiTheme="minorEastAsia" w:cstheme="minorEastAsia"/>
          <w:sz w:val="28"/>
          <w:szCs w:val="28"/>
        </w:rPr>
      </w:pPr>
      <w:r>
        <w:rPr>
          <w:rFonts w:hint="eastAsia" w:asciiTheme="minorEastAsia" w:hAnsiTheme="minorEastAsia" w:cstheme="minorEastAsia"/>
          <w:sz w:val="28"/>
          <w:szCs w:val="28"/>
        </w:rPr>
        <w:t>参展商、搭建商及服务商须认真贯彻中华人民共和国、上海市有关安全生产和劳动保护的方针及政策，严格执行各项法规、条例和规定，包括《中华人民共和国安全生产法》、《生产安全事故报告和调查处理条例》、《上海市安全生产条例》等。</w:t>
      </w:r>
    </w:p>
    <w:p>
      <w:pPr>
        <w:numPr>
          <w:ilvl w:val="1"/>
          <w:numId w:val="2"/>
        </w:numPr>
        <w:rPr>
          <w:rFonts w:asciiTheme="minorEastAsia" w:hAnsiTheme="minorEastAsia" w:cstheme="minorEastAsia"/>
          <w:sz w:val="28"/>
          <w:szCs w:val="28"/>
        </w:rPr>
      </w:pPr>
      <w:r>
        <w:rPr>
          <w:rFonts w:hint="eastAsia" w:asciiTheme="minorEastAsia" w:hAnsiTheme="minorEastAsia" w:cstheme="minorEastAsia"/>
          <w:sz w:val="28"/>
          <w:szCs w:val="28"/>
        </w:rPr>
        <w:t>在展会布展、展期及撤展期间，凡涉及展馆室内外展台搭建、装修、拆除及展期维护施工的</w:t>
      </w:r>
      <w:r>
        <w:rPr>
          <w:rFonts w:hint="eastAsia" w:asciiTheme="minorEastAsia" w:hAnsiTheme="minorEastAsia" w:cstheme="minorEastAsia"/>
          <w:sz w:val="28"/>
          <w:szCs w:val="28"/>
          <w:lang w:eastAsia="zh-CN"/>
        </w:rPr>
        <w:t>，</w:t>
      </w:r>
      <w:bookmarkStart w:id="0" w:name="_GoBack"/>
      <w:bookmarkEnd w:id="0"/>
      <w:r>
        <w:rPr>
          <w:rFonts w:ascii="宋体" w:hAnsi="宋体" w:eastAsia="宋体" w:cs="宋体"/>
          <w:sz w:val="28"/>
          <w:szCs w:val="28"/>
        </w:rPr>
        <w:t>须严格依照并遵守承办单位有关</w:t>
      </w:r>
      <w:r>
        <w:rPr>
          <w:rFonts w:hint="eastAsia" w:asciiTheme="minorEastAsia" w:hAnsiTheme="minorEastAsia" w:cstheme="minorEastAsia"/>
          <w:sz w:val="28"/>
          <w:szCs w:val="28"/>
        </w:rPr>
        <w:t>安全生产的规定与要求，包括《参展商手册》、《展前通知》、《进馆须知》、《安全须知》、《现场通告》、《国家会展中心（上海）展馆使用手册》等；</w:t>
      </w:r>
      <w:r>
        <w:rPr>
          <w:rFonts w:ascii="宋体" w:hAnsi="宋体" w:eastAsia="宋体" w:cs="宋体"/>
          <w:sz w:val="28"/>
          <w:szCs w:val="28"/>
        </w:rPr>
        <w:t>同时，积极配合</w:t>
      </w:r>
      <w:r>
        <w:rPr>
          <w:rFonts w:hint="eastAsia" w:ascii="宋体" w:hAnsi="宋体" w:eastAsia="宋体" w:cs="宋体"/>
          <w:sz w:val="28"/>
          <w:szCs w:val="28"/>
        </w:rPr>
        <w:t>中国</w:t>
      </w:r>
      <w:r>
        <w:rPr>
          <w:rFonts w:ascii="宋体" w:hAnsi="宋体" w:eastAsia="宋体" w:cs="宋体"/>
          <w:sz w:val="28"/>
          <w:szCs w:val="28"/>
        </w:rPr>
        <w:t>政府有关部门</w:t>
      </w:r>
      <w:r>
        <w:rPr>
          <w:rFonts w:hint="eastAsia" w:ascii="宋体" w:hAnsi="宋体" w:eastAsia="宋体" w:cs="宋体"/>
          <w:sz w:val="28"/>
          <w:szCs w:val="28"/>
        </w:rPr>
        <w:t>及</w:t>
      </w:r>
      <w:r>
        <w:rPr>
          <w:rFonts w:ascii="宋体" w:hAnsi="宋体" w:eastAsia="宋体" w:cs="宋体"/>
          <w:sz w:val="28"/>
          <w:szCs w:val="28"/>
        </w:rPr>
        <w:t>承办单位的监督、检查与管理工作。</w:t>
      </w:r>
    </w:p>
    <w:p>
      <w:pPr>
        <w:numPr>
          <w:ilvl w:val="1"/>
          <w:numId w:val="2"/>
        </w:numPr>
        <w:rPr>
          <w:rFonts w:asciiTheme="minorEastAsia" w:hAnsiTheme="minorEastAsia" w:cstheme="minorEastAsia"/>
          <w:sz w:val="28"/>
          <w:szCs w:val="28"/>
        </w:rPr>
      </w:pPr>
      <w:r>
        <w:rPr>
          <w:rFonts w:hint="eastAsia" w:asciiTheme="minorEastAsia" w:hAnsiTheme="minorEastAsia" w:cstheme="minorEastAsia"/>
          <w:sz w:val="28"/>
          <w:szCs w:val="28"/>
        </w:rPr>
        <w:t>为进一步加强对展会安全工作的重视，履行安全工作义务，承担安全责任，承办单位特拟定特装展台安全责任承诺书，参展商及其搭建商须共同签署并加盖公章，在截止日期之前向展会主场搭建商提交；同时须将搭建商的营业执照复印件一同回传至展会主场搭建商。具体</w:t>
      </w:r>
      <w:r>
        <w:rPr>
          <w:rFonts w:hint="eastAsia" w:asciiTheme="minorEastAsia" w:hAnsiTheme="minorEastAsia" w:cstheme="minorEastAsia"/>
          <w:sz w:val="28"/>
          <w:szCs w:val="28"/>
          <w:lang w:val="en-US" w:eastAsia="zh-CN"/>
        </w:rPr>
        <w:t>请</w:t>
      </w:r>
      <w:r>
        <w:rPr>
          <w:rFonts w:hint="eastAsia" w:asciiTheme="minorEastAsia" w:hAnsiTheme="minorEastAsia" w:cstheme="minorEastAsia"/>
          <w:sz w:val="28"/>
          <w:szCs w:val="28"/>
        </w:rPr>
        <w:t>详见附表13：《特装展台安全责任承诺书》</w:t>
      </w:r>
      <w:r>
        <w:rPr>
          <w:rFonts w:hint="eastAsia" w:asciiTheme="minorEastAsia" w:hAnsiTheme="minorEastAsia" w:cstheme="minorEastAsia"/>
          <w:sz w:val="28"/>
          <w:szCs w:val="28"/>
          <w:lang w:eastAsia="zh-CN"/>
        </w:rPr>
        <w:t>。</w:t>
      </w:r>
    </w:p>
    <w:p>
      <w:pPr>
        <w:rPr>
          <w:rFonts w:asciiTheme="minorEastAsia" w:hAnsiTheme="minorEastAsia" w:cstheme="minorEastAsia"/>
          <w:sz w:val="28"/>
          <w:szCs w:val="28"/>
        </w:rPr>
      </w:pPr>
      <w:r>
        <w:rPr>
          <w:rFonts w:hint="eastAsia" w:asciiTheme="minorEastAsia" w:hAnsiTheme="minorEastAsia" w:cstheme="minorEastAsia"/>
          <w:sz w:val="28"/>
          <w:szCs w:val="28"/>
        </w:rPr>
        <w:t>1.4 参展商及其搭建商须建立安全检查制度，做好安全生产的教育和培训；同时指派专人负责安全生产工作，在现场佩戴安全员的标识。</w:t>
      </w:r>
    </w:p>
    <w:p>
      <w:pPr>
        <w:numPr>
          <w:ilvl w:val="0"/>
          <w:numId w:val="1"/>
        </w:numPr>
        <w:rPr>
          <w:rFonts w:asciiTheme="minorEastAsia" w:hAnsiTheme="minorEastAsia" w:cstheme="minorEastAsia"/>
          <w:b/>
          <w:bCs/>
          <w:sz w:val="28"/>
          <w:szCs w:val="28"/>
        </w:rPr>
      </w:pPr>
      <w:r>
        <w:rPr>
          <w:rFonts w:hint="eastAsia" w:asciiTheme="minorEastAsia" w:hAnsiTheme="minorEastAsia" w:cstheme="minorEastAsia"/>
          <w:b/>
          <w:bCs/>
          <w:sz w:val="28"/>
          <w:szCs w:val="28"/>
        </w:rPr>
        <w:t>安全管理</w:t>
      </w:r>
    </w:p>
    <w:p>
      <w:pPr>
        <w:rPr>
          <w:rFonts w:asciiTheme="minorEastAsia" w:hAnsiTheme="minorEastAsia" w:cstheme="minorEastAsia"/>
          <w:sz w:val="28"/>
          <w:szCs w:val="28"/>
        </w:rPr>
      </w:pPr>
      <w:r>
        <w:rPr>
          <w:rFonts w:hint="eastAsia" w:asciiTheme="minorEastAsia" w:hAnsiTheme="minorEastAsia" w:cstheme="minorEastAsia"/>
          <w:sz w:val="28"/>
          <w:szCs w:val="28"/>
        </w:rPr>
        <w:t>2.1 参展商及其搭建商须认真落实安全责任制，加强现场安全巡查及管理，接受并服从政府相关部门、承办单位及展馆工作人员在现场作出的安全生产要求和规定等。</w:t>
      </w:r>
    </w:p>
    <w:p>
      <w:pPr>
        <w:rPr>
          <w:rFonts w:asciiTheme="minorEastAsia" w:hAnsiTheme="minorEastAsia" w:cstheme="minorEastAsia"/>
          <w:sz w:val="28"/>
          <w:szCs w:val="28"/>
        </w:rPr>
      </w:pPr>
      <w:r>
        <w:rPr>
          <w:rFonts w:hint="eastAsia" w:asciiTheme="minorEastAsia" w:hAnsiTheme="minorEastAsia" w:cstheme="minorEastAsia"/>
          <w:sz w:val="28"/>
          <w:szCs w:val="28"/>
        </w:rPr>
        <w:t>2.2 参展商及其搭建商须遵守国家建筑施工行业相关规定和规范，确保现场施工人员及特种作业人员均取得相应的操作资质证书或上岗证。</w:t>
      </w:r>
    </w:p>
    <w:p>
      <w:pPr>
        <w:rPr>
          <w:rFonts w:asciiTheme="minorEastAsia" w:hAnsiTheme="minorEastAsia" w:cstheme="minorEastAsia"/>
          <w:sz w:val="28"/>
          <w:szCs w:val="28"/>
        </w:rPr>
      </w:pPr>
      <w:r>
        <w:rPr>
          <w:rFonts w:hint="eastAsia" w:asciiTheme="minorEastAsia" w:hAnsiTheme="minorEastAsia" w:cstheme="minorEastAsia"/>
          <w:sz w:val="28"/>
          <w:szCs w:val="28"/>
        </w:rPr>
        <w:t>2.3 凡涉及展馆室内外展台搭建、装修、拆除及展期维护施工的，参展商及其搭建商须遵守文明施工原则，做好安全防护措施；在布、撤展期间，工作人员须佩戴安全帽。</w:t>
      </w:r>
    </w:p>
    <w:p>
      <w:pPr>
        <w:rPr>
          <w:rFonts w:asciiTheme="minorEastAsia" w:hAnsiTheme="minorEastAsia" w:cstheme="minorEastAsia"/>
          <w:sz w:val="28"/>
          <w:szCs w:val="28"/>
        </w:rPr>
      </w:pPr>
      <w:r>
        <w:rPr>
          <w:rFonts w:hint="eastAsia" w:asciiTheme="minorEastAsia" w:hAnsiTheme="minorEastAsia" w:cstheme="minorEastAsia"/>
          <w:sz w:val="28"/>
          <w:szCs w:val="28"/>
        </w:rPr>
        <w:t>2.4 严禁特装展台搭建、维护或拆除工作发生分包、转包或挂靠行为；同时，为明确责任及损失的承担，参展商应责成其委托的搭建商或服务商购买有关人身、财产等保险。</w:t>
      </w:r>
    </w:p>
    <w:p>
      <w:pPr>
        <w:numPr>
          <w:ilvl w:val="0"/>
          <w:numId w:val="1"/>
        </w:numPr>
        <w:rPr>
          <w:rFonts w:asciiTheme="minorEastAsia" w:hAnsiTheme="minorEastAsia" w:cstheme="minorEastAsia"/>
          <w:b/>
          <w:bCs/>
          <w:sz w:val="28"/>
          <w:szCs w:val="28"/>
        </w:rPr>
      </w:pPr>
      <w:r>
        <w:rPr>
          <w:rFonts w:hint="eastAsia" w:asciiTheme="minorEastAsia" w:hAnsiTheme="minorEastAsia" w:cstheme="minorEastAsia"/>
          <w:b/>
          <w:bCs/>
          <w:sz w:val="28"/>
          <w:szCs w:val="28"/>
        </w:rPr>
        <w:t>展台搭建及审图</w:t>
      </w:r>
    </w:p>
    <w:p>
      <w:pPr>
        <w:pStyle w:val="10"/>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3.1 为确保特装展台的搭建结构安全、稳固，避免各类可能存在的风险及隐患，本次展会规定展台的最大搭建高度为：单层展台6米，双层8.5米，所有特装展台须向展会主场搭建商或审图服务商提交相关资料进行结构审核。</w:t>
      </w:r>
    </w:p>
    <w:p>
      <w:pPr>
        <w:rPr>
          <w:rFonts w:asciiTheme="minorEastAsia" w:hAnsiTheme="minorEastAsia" w:cstheme="minorEastAsia"/>
          <w:sz w:val="28"/>
          <w:szCs w:val="28"/>
        </w:rPr>
      </w:pPr>
      <w:r>
        <w:rPr>
          <w:rFonts w:hint="eastAsia" w:asciiTheme="minorEastAsia" w:hAnsiTheme="minorEastAsia" w:cstheme="minorEastAsia"/>
          <w:sz w:val="28"/>
          <w:szCs w:val="28"/>
        </w:rPr>
        <w:t>3.2 在展台内搭建楼梯、梯子必须符合相关技术规范及安全的要求，扶手必须牢固，以防止人员滑跌。</w:t>
      </w:r>
    </w:p>
    <w:p>
      <w:pPr>
        <w:pStyle w:val="2"/>
        <w:rPr>
          <w:rFonts w:asciiTheme="minorEastAsia" w:hAnsiTheme="minorEastAsia" w:cstheme="minorEastAsia"/>
          <w:color w:val="FF0000"/>
          <w:sz w:val="28"/>
          <w:szCs w:val="28"/>
        </w:rPr>
      </w:pPr>
      <w:r>
        <w:rPr>
          <w:rFonts w:hint="eastAsia" w:asciiTheme="minorEastAsia" w:hAnsiTheme="minorEastAsia" w:cstheme="minorEastAsia"/>
          <w:sz w:val="28"/>
          <w:szCs w:val="28"/>
        </w:rPr>
        <w:t>3.3 为保证展台结构的牢固性，钢结构立柱应使用直径10厘米以上的无焊接材料，底部焊接底盘，上部焊接直径不小于60厘米的法兰盘以增加立柱的受力面积。</w:t>
      </w:r>
      <w:r>
        <w:rPr>
          <w:rFonts w:hint="eastAsia" w:asciiTheme="minorEastAsia" w:hAnsiTheme="minorEastAsia" w:cstheme="minorEastAsia"/>
          <w:color w:val="000000" w:themeColor="text1"/>
          <w:sz w:val="28"/>
          <w:szCs w:val="28"/>
        </w:rPr>
        <w:t>钢结构立柱底座尺寸应按照展位整体载荷计算确定，立柱必须焊接在底座的中心位置。</w:t>
      </w:r>
    </w:p>
    <w:p>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rPr>
        <w:t>3.4 展台结构主体墙落地宽度不应小于12厘米，以确保墙体与地面的接触面积，超过6米的大跨度墙体及钢框架结构之间应在顶部加设横梁连接，下部须加设立柱支撑，保证展台整体刚度和稳定性。</w:t>
      </w:r>
    </w:p>
    <w:p>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rPr>
        <w:t>3.5 承重构件，所采用的角钢、槽钢、方通等材料必须为国标产品，特装展位承重构件不得采用装饰用柔性金属材料或脆性材料；木质承重柱、承重梁须内衬连续实木方通，以保证构件本身结构完整、稳固。</w:t>
      </w:r>
    </w:p>
    <w:p>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rPr>
        <w:t>3.6 木质结构单跨跨度限制在6米以内，高度限制在5米以内，钢结构和钢木混合结构（包括内衬钢质方筒、铁架）单跨结构限制在8米，成型钢网架跨度可根据其截面可适当放宽，但最大不得超过12米（专业舞台搭建网架除外）。</w:t>
      </w:r>
    </w:p>
    <w:p>
      <w:pPr>
        <w:rPr>
          <w:rFonts w:asciiTheme="minorEastAsia" w:hAnsiTheme="minorEastAsia" w:cstheme="minorEastAsia"/>
          <w:sz w:val="28"/>
          <w:szCs w:val="28"/>
        </w:rPr>
      </w:pPr>
      <w:r>
        <w:rPr>
          <w:rFonts w:hint="eastAsia" w:asciiTheme="minorEastAsia" w:hAnsiTheme="minorEastAsia" w:cstheme="minorEastAsia"/>
          <w:sz w:val="28"/>
          <w:szCs w:val="28"/>
        </w:rPr>
        <w:t>3.7 无框架结构特装展位，木质墙体厚度不得小于30厘米；框架结构特装展台，木质墙体厚度不得小于10厘米。承重木质墙必须有方钢或无缝圆管做内撑。</w:t>
      </w:r>
    </w:p>
    <w:p>
      <w:pPr>
        <w:rPr>
          <w:rFonts w:asciiTheme="minorEastAsia" w:hAnsiTheme="minorEastAsia" w:cstheme="minorEastAsia"/>
          <w:sz w:val="28"/>
          <w:szCs w:val="28"/>
        </w:rPr>
      </w:pPr>
      <w:r>
        <w:rPr>
          <w:rFonts w:hint="eastAsia" w:asciiTheme="minorEastAsia" w:hAnsiTheme="minorEastAsia" w:cstheme="minorEastAsia"/>
          <w:sz w:val="28"/>
          <w:szCs w:val="28"/>
        </w:rPr>
        <w:t>3.8 使用玻璃材料装饰展台，必须采用钢化玻璃，要保证玻璃的强度、厚度（幕墙玻璃厚度不小于1厘米），玻璃的安装方式应合理、可靠，必须制作金属框架或采用专业五金件进行玻璃安装，框架及五金件与玻璃材料之间要使用弹性材料做垫层，确保玻璃使用安全。大面积玻璃材料应在水平面1.5米处粘贴明显标识，以防破碎伤人。若使用玻璃地台，则结构支撑立柱、墙体必须固定于地台下方，不得直接在光滑玻璃面上方搭设展台结构。</w:t>
      </w:r>
    </w:p>
    <w:p>
      <w:pPr>
        <w:rPr>
          <w:rFonts w:asciiTheme="minorEastAsia" w:hAnsiTheme="minorEastAsia" w:cstheme="minorEastAsia"/>
          <w:sz w:val="28"/>
          <w:szCs w:val="28"/>
        </w:rPr>
      </w:pPr>
      <w:r>
        <w:rPr>
          <w:rFonts w:hint="eastAsia" w:asciiTheme="minorEastAsia" w:hAnsiTheme="minorEastAsia" w:cstheme="minorEastAsia"/>
          <w:sz w:val="28"/>
          <w:szCs w:val="28"/>
        </w:rPr>
        <w:t>3.9 展台如需搭建地台，建议使用斜坡式地台，有角地台高度要求在10厘米以下，并配备相关安全标识。</w:t>
      </w:r>
    </w:p>
    <w:p>
      <w:pPr>
        <w:numPr>
          <w:ilvl w:val="0"/>
          <w:numId w:val="1"/>
        </w:numPr>
        <w:rPr>
          <w:rFonts w:asciiTheme="minorEastAsia" w:hAnsiTheme="minorEastAsia" w:cstheme="minorEastAsia"/>
          <w:b/>
          <w:bCs/>
          <w:sz w:val="28"/>
          <w:szCs w:val="28"/>
        </w:rPr>
      </w:pPr>
      <w:r>
        <w:rPr>
          <w:rFonts w:hint="eastAsia" w:asciiTheme="minorEastAsia" w:hAnsiTheme="minorEastAsia" w:cstheme="minorEastAsia"/>
          <w:b/>
          <w:bCs/>
          <w:sz w:val="28"/>
          <w:szCs w:val="28"/>
        </w:rPr>
        <w:t>高空作业</w:t>
      </w:r>
    </w:p>
    <w:p>
      <w:pPr>
        <w:rPr>
          <w:rFonts w:asciiTheme="minorEastAsia" w:hAnsiTheme="minorEastAsia" w:cstheme="minorEastAsia"/>
          <w:sz w:val="28"/>
          <w:szCs w:val="28"/>
        </w:rPr>
      </w:pPr>
      <w:r>
        <w:rPr>
          <w:rFonts w:hint="eastAsia" w:asciiTheme="minorEastAsia" w:hAnsiTheme="minorEastAsia" w:cstheme="minorEastAsia"/>
          <w:sz w:val="28"/>
          <w:szCs w:val="28"/>
        </w:rPr>
        <w:t>4.1 高空作业是指在坠落高度基准面2m以上（含2m）有可能坠落的高处进行的作业。</w:t>
      </w:r>
    </w:p>
    <w:p>
      <w:pPr>
        <w:rPr>
          <w:rFonts w:asciiTheme="minorEastAsia" w:hAnsiTheme="minorEastAsia" w:cstheme="minorEastAsia"/>
          <w:sz w:val="28"/>
          <w:szCs w:val="28"/>
        </w:rPr>
      </w:pPr>
      <w:r>
        <w:rPr>
          <w:rFonts w:hint="eastAsia" w:asciiTheme="minorEastAsia" w:hAnsiTheme="minorEastAsia" w:cstheme="minorEastAsia"/>
          <w:sz w:val="28"/>
          <w:szCs w:val="28"/>
        </w:rPr>
        <w:t>4.2 年满18岁，经体检检查合格后方可从事高空作业；凡患有高血压、心脏病、癫痫病、精神病或其他隐形疾病的，禁止高空作业。</w:t>
      </w:r>
    </w:p>
    <w:p>
      <w:pPr>
        <w:rPr>
          <w:rFonts w:asciiTheme="minorEastAsia" w:hAnsiTheme="minorEastAsia" w:cstheme="minorEastAsia"/>
          <w:sz w:val="28"/>
          <w:szCs w:val="28"/>
        </w:rPr>
      </w:pPr>
      <w:r>
        <w:rPr>
          <w:rFonts w:hint="eastAsia" w:asciiTheme="minorEastAsia" w:hAnsiTheme="minorEastAsia" w:cstheme="minorEastAsia"/>
          <w:sz w:val="28"/>
          <w:szCs w:val="28"/>
        </w:rPr>
        <w:t>4.3 实施高空作业的人员必须在施工过程中按要求穿戴整齐个人防护用品（安全帽、安全带等），安全带的栓挂不得低挂高用，不得用绳子代替，酒后人员禁止高空作业。</w:t>
      </w:r>
    </w:p>
    <w:p>
      <w:pPr>
        <w:rPr>
          <w:rFonts w:asciiTheme="minorEastAsia" w:hAnsiTheme="minorEastAsia" w:cstheme="minorEastAsia"/>
          <w:sz w:val="28"/>
          <w:szCs w:val="28"/>
        </w:rPr>
      </w:pPr>
      <w:r>
        <w:rPr>
          <w:rFonts w:hint="eastAsia" w:asciiTheme="minorEastAsia" w:hAnsiTheme="minorEastAsia" w:cstheme="minorEastAsia"/>
          <w:sz w:val="28"/>
          <w:szCs w:val="28"/>
        </w:rPr>
        <w:t>4.4 实施高空作业必须配备高空作业监护人，确保现场环境安全并落实安全措施，下方严禁站人，必须按指定路线上下。</w:t>
      </w:r>
    </w:p>
    <w:p>
      <w:pPr>
        <w:rPr>
          <w:rFonts w:asciiTheme="minorEastAsia" w:hAnsiTheme="minorEastAsia" w:cstheme="minorEastAsia"/>
          <w:sz w:val="28"/>
          <w:szCs w:val="28"/>
        </w:rPr>
      </w:pPr>
      <w:r>
        <w:rPr>
          <w:rFonts w:hint="eastAsia" w:asciiTheme="minorEastAsia" w:hAnsiTheme="minorEastAsia" w:cstheme="minorEastAsia"/>
          <w:sz w:val="28"/>
          <w:szCs w:val="28"/>
        </w:rPr>
        <w:t>4.5 实施高空作业过程中搭设脚手架、防护栏必须符合安全规定，固定站位/承重板必须反复检查、加固；作业过程中使用的工具、材料及零件不得手持，不得抛接，必须配备工具袋；工作完毕应及时将工具、零星材料、零部件等一切易坠落物件清理干净，防止落下伤人。</w:t>
      </w:r>
    </w:p>
    <w:p>
      <w:pPr>
        <w:rPr>
          <w:rFonts w:asciiTheme="minorEastAsia" w:hAnsiTheme="minorEastAsia" w:cstheme="minorEastAsia"/>
          <w:sz w:val="28"/>
          <w:szCs w:val="28"/>
        </w:rPr>
      </w:pPr>
      <w:r>
        <w:rPr>
          <w:rFonts w:hint="eastAsia" w:asciiTheme="minorEastAsia" w:hAnsiTheme="minorEastAsia" w:cstheme="minorEastAsia"/>
          <w:sz w:val="28"/>
          <w:szCs w:val="28"/>
        </w:rPr>
        <w:t>4.6 展台搭建、装修、拆除及展期维护施工所用的升降机械车辆须向主办单位及展馆申报并获准后方能进馆。</w:t>
      </w:r>
    </w:p>
    <w:p>
      <w:pPr>
        <w:numPr>
          <w:ilvl w:val="0"/>
          <w:numId w:val="1"/>
        </w:numPr>
        <w:rPr>
          <w:rFonts w:asciiTheme="minorEastAsia" w:hAnsiTheme="minorEastAsia" w:cstheme="minorEastAsia"/>
          <w:b/>
          <w:bCs/>
          <w:sz w:val="28"/>
          <w:szCs w:val="28"/>
        </w:rPr>
      </w:pPr>
      <w:r>
        <w:rPr>
          <w:rFonts w:hint="eastAsia" w:asciiTheme="minorEastAsia" w:hAnsiTheme="minorEastAsia" w:cstheme="minorEastAsia"/>
          <w:b/>
          <w:bCs/>
          <w:sz w:val="28"/>
          <w:szCs w:val="28"/>
        </w:rPr>
        <w:t>用电安全</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请</w:t>
      </w:r>
      <w:r>
        <w:rPr>
          <w:rFonts w:hint="eastAsia" w:asciiTheme="minorEastAsia" w:hAnsiTheme="minorEastAsia" w:cstheme="minorEastAsia"/>
          <w:sz w:val="28"/>
          <w:szCs w:val="28"/>
        </w:rPr>
        <w:t>详见本《参展商手册》附件3《水、电、气安全管理须知》。</w:t>
      </w:r>
    </w:p>
    <w:p>
      <w:pPr>
        <w:numPr>
          <w:ilvl w:val="0"/>
          <w:numId w:val="1"/>
        </w:numPr>
        <w:rPr>
          <w:rFonts w:asciiTheme="minorEastAsia" w:hAnsiTheme="minorEastAsia" w:cstheme="minorEastAsia"/>
          <w:b/>
          <w:bCs/>
          <w:sz w:val="28"/>
          <w:szCs w:val="28"/>
        </w:rPr>
      </w:pPr>
      <w:r>
        <w:rPr>
          <w:rFonts w:hint="eastAsia" w:asciiTheme="minorEastAsia" w:hAnsiTheme="minorEastAsia" w:cstheme="minorEastAsia"/>
          <w:b/>
          <w:bCs/>
          <w:sz w:val="28"/>
          <w:szCs w:val="28"/>
        </w:rPr>
        <w:t>应急保障</w:t>
      </w:r>
    </w:p>
    <w:p>
      <w:pPr>
        <w:ind w:firstLine="560" w:firstLineChars="200"/>
      </w:pPr>
      <w:r>
        <w:rPr>
          <w:rFonts w:hint="eastAsia" w:asciiTheme="minorEastAsia" w:hAnsiTheme="minorEastAsia" w:cstheme="minorEastAsia"/>
          <w:sz w:val="28"/>
          <w:szCs w:val="28"/>
        </w:rPr>
        <w:t>展商及其搭建商须建立安全检查制度，认真负责地遵守并配合主办单位、展馆及有关政府部门关于安全巡查、整改、应急疏散的各项工作，听从指挥并予以落实；如遇突发事件，必须第一时间采取相应措施并报告承办单位。</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Times New Roman" w:hAnsi="Times New Roman" w:cs="Times New Roman"/>
        <w:b/>
        <w:bCs/>
        <w:sz w:val="28"/>
        <w:szCs w:val="28"/>
      </w:rPr>
    </w:pPr>
    <w:r>
      <w:rPr>
        <w:rFonts w:hint="eastAsia" w:ascii="Times New Roman" w:hAnsi="Times New Roman" w:cs="Times New Roman"/>
        <w:b/>
        <w:sz w:val="28"/>
      </w:rPr>
      <w:t>附件</w:t>
    </w:r>
    <w:r>
      <w:rPr>
        <w:rFonts w:ascii="Times New Roman" w:hAnsi="Times New Roman" w:cs="Times New Roman"/>
        <w:b/>
        <w:sz w:val="28"/>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1DAAF"/>
    <w:multiLevelType w:val="singleLevel"/>
    <w:tmpl w:val="5A31DAAF"/>
    <w:lvl w:ilvl="0" w:tentative="0">
      <w:start w:val="1"/>
      <w:numFmt w:val="decimal"/>
      <w:suff w:val="space"/>
      <w:lvlText w:val="%1."/>
      <w:lvlJc w:val="left"/>
    </w:lvl>
  </w:abstractNum>
  <w:abstractNum w:abstractNumId="1">
    <w:nsid w:val="5A31DE14"/>
    <w:multiLevelType w:val="multilevel"/>
    <w:tmpl w:val="5A31DE1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160F"/>
    <w:rsid w:val="0000266A"/>
    <w:rsid w:val="0002605F"/>
    <w:rsid w:val="00047E92"/>
    <w:rsid w:val="001006F4"/>
    <w:rsid w:val="0012228D"/>
    <w:rsid w:val="00133CDB"/>
    <w:rsid w:val="00185995"/>
    <w:rsid w:val="001A3875"/>
    <w:rsid w:val="0020721D"/>
    <w:rsid w:val="002B3C35"/>
    <w:rsid w:val="002E66D4"/>
    <w:rsid w:val="00350F9B"/>
    <w:rsid w:val="003B2DA1"/>
    <w:rsid w:val="00405E49"/>
    <w:rsid w:val="00462573"/>
    <w:rsid w:val="00477881"/>
    <w:rsid w:val="004E50F9"/>
    <w:rsid w:val="004F6024"/>
    <w:rsid w:val="005035E7"/>
    <w:rsid w:val="00546FEA"/>
    <w:rsid w:val="0061361B"/>
    <w:rsid w:val="006A627B"/>
    <w:rsid w:val="00746D19"/>
    <w:rsid w:val="00756FFF"/>
    <w:rsid w:val="007A6CBA"/>
    <w:rsid w:val="007B530F"/>
    <w:rsid w:val="007B6ECD"/>
    <w:rsid w:val="00821319"/>
    <w:rsid w:val="00851499"/>
    <w:rsid w:val="008A64AF"/>
    <w:rsid w:val="008C34CB"/>
    <w:rsid w:val="008D02BA"/>
    <w:rsid w:val="00906AD0"/>
    <w:rsid w:val="00963BA1"/>
    <w:rsid w:val="0098160F"/>
    <w:rsid w:val="009939A9"/>
    <w:rsid w:val="009B2635"/>
    <w:rsid w:val="009C4CC6"/>
    <w:rsid w:val="009D178B"/>
    <w:rsid w:val="00A270A5"/>
    <w:rsid w:val="00A43E5C"/>
    <w:rsid w:val="00AC3107"/>
    <w:rsid w:val="00BA0BE3"/>
    <w:rsid w:val="00BD12CD"/>
    <w:rsid w:val="00C14D8D"/>
    <w:rsid w:val="00C341DF"/>
    <w:rsid w:val="00C711F7"/>
    <w:rsid w:val="00C76EE2"/>
    <w:rsid w:val="00C85CBF"/>
    <w:rsid w:val="00CA2232"/>
    <w:rsid w:val="00CF02A0"/>
    <w:rsid w:val="00CF0BA8"/>
    <w:rsid w:val="00D13F31"/>
    <w:rsid w:val="00D82BBF"/>
    <w:rsid w:val="00DD50F2"/>
    <w:rsid w:val="00E759C2"/>
    <w:rsid w:val="00EA38A6"/>
    <w:rsid w:val="00EC45FF"/>
    <w:rsid w:val="00ED5FC0"/>
    <w:rsid w:val="00F37636"/>
    <w:rsid w:val="00F97592"/>
    <w:rsid w:val="00FA730E"/>
    <w:rsid w:val="00FE02C7"/>
    <w:rsid w:val="0CB55D36"/>
    <w:rsid w:val="3782180A"/>
    <w:rsid w:val="55051241"/>
    <w:rsid w:val="661474C4"/>
    <w:rsid w:val="6FF06BCD"/>
    <w:rsid w:val="717B1E2B"/>
    <w:rsid w:val="76917C3F"/>
    <w:rsid w:val="7D2D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semiHidden/>
    <w:unhideWhenUsed/>
    <w:uiPriority w:val="99"/>
    <w:rPr>
      <w:sz w:val="20"/>
      <w:szCs w:val="20"/>
    </w:rPr>
  </w:style>
  <w:style w:type="paragraph" w:styleId="3">
    <w:name w:val="Balloon Text"/>
    <w:basedOn w:val="1"/>
    <w:link w:val="12"/>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uiPriority w:val="99"/>
    <w:rPr>
      <w:sz w:val="16"/>
      <w:szCs w:val="16"/>
    </w:rPr>
  </w:style>
  <w:style w:type="character" w:customStyle="1" w:styleId="9">
    <w:name w:val="页眉 Char"/>
    <w:basedOn w:val="6"/>
    <w:link w:val="5"/>
    <w:qFormat/>
    <w:uiPriority w:val="99"/>
    <w:rPr>
      <w:sz w:val="18"/>
      <w:szCs w:val="18"/>
    </w:rPr>
  </w:style>
  <w:style w:type="paragraph" w:customStyle="1" w:styleId="10">
    <w:name w:val="彩色列表1"/>
    <w:basedOn w:val="1"/>
    <w:qFormat/>
    <w:uiPriority w:val="34"/>
    <w:pPr>
      <w:ind w:firstLine="420" w:firstLineChars="200"/>
    </w:pPr>
  </w:style>
  <w:style w:type="character" w:customStyle="1" w:styleId="11">
    <w:name w:val="批注文字 Char"/>
    <w:basedOn w:val="6"/>
    <w:link w:val="2"/>
    <w:semiHidden/>
    <w:uiPriority w:val="99"/>
    <w:rPr>
      <w:sz w:val="20"/>
      <w:szCs w:val="20"/>
    </w:rPr>
  </w:style>
  <w:style w:type="character" w:customStyle="1" w:styleId="12">
    <w:name w:val="批注框文本 Char"/>
    <w:basedOn w:val="6"/>
    <w:link w:val="3"/>
    <w:semiHidden/>
    <w:uiPriority w:val="99"/>
    <w:rPr>
      <w:sz w:val="18"/>
      <w:szCs w:val="18"/>
    </w:rPr>
  </w:style>
  <w:style w:type="character" w:customStyle="1" w:styleId="13">
    <w:name w:val="页脚 Char"/>
    <w:basedOn w:val="6"/>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337</Words>
  <Characters>1926</Characters>
  <Lines>16</Lines>
  <Paragraphs>4</Paragraphs>
  <TotalTime>131</TotalTime>
  <ScaleCrop>false</ScaleCrop>
  <LinksUpToDate>false</LinksUpToDate>
  <CharactersWithSpaces>2259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2018-04-20T06:09:00Z</dcterms:created>
  <dc:creator>Administrator</dc:creator>
  <cp:lastModifiedBy>GZJH</cp:lastModifiedBy>
  <dcterms:modified xsi:type="dcterms:W3CDTF">2018-07-03T01:22:53Z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