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28"/>
          <w:szCs w:val="28"/>
        </w:rPr>
      </w:pPr>
      <w:r>
        <w:rPr>
          <w:rFonts w:hint="eastAsia" w:ascii="宋体" w:hAnsi="宋体" w:eastAsia="宋体" w:cs="宋体"/>
          <w:b/>
          <w:sz w:val="28"/>
          <w:szCs w:val="28"/>
        </w:rPr>
        <w:t>《中国国际进口博览会参展商手册》</w:t>
      </w:r>
    </w:p>
    <w:p>
      <w:pPr>
        <w:jc w:val="center"/>
        <w:rPr>
          <w:rFonts w:ascii="宋体" w:hAnsi="宋体" w:eastAsia="宋体" w:cs="宋体"/>
          <w:b/>
          <w:sz w:val="28"/>
          <w:szCs w:val="28"/>
        </w:rPr>
      </w:pPr>
      <w:r>
        <w:rPr>
          <w:rFonts w:hint="eastAsia" w:ascii="宋体" w:hAnsi="宋体" w:eastAsia="宋体" w:cs="宋体"/>
          <w:b/>
          <w:sz w:val="28"/>
          <w:szCs w:val="28"/>
        </w:rPr>
        <w:t>企业商业展</w:t>
      </w:r>
    </w:p>
    <w:p>
      <w:pPr>
        <w:jc w:val="center"/>
        <w:rPr>
          <w:rFonts w:ascii="宋体" w:hAnsi="宋体" w:eastAsia="宋体" w:cs="宋体"/>
          <w:b/>
          <w:sz w:val="28"/>
          <w:szCs w:val="28"/>
        </w:rPr>
      </w:pPr>
      <w:r>
        <w:rPr>
          <w:rFonts w:hint="eastAsia" w:ascii="宋体" w:hAnsi="宋体" w:eastAsia="宋体" w:cs="宋体"/>
          <w:b/>
          <w:sz w:val="28"/>
          <w:szCs w:val="28"/>
        </w:rPr>
        <w:t>第六部分 附件5《标准展台展商须知》</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标准展台的搭建将统一由展会指定的主场搭建商负责。</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标准展台的参展商须填写展台楣板信息，内容须与签约合同的信息一致，并在2018年09月25日前回传至展会主场搭建商；未经承办单位同意，不得私自遮盖、修改楣板。</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所有水、电、气、网络、电话申请须向展会主场搭建商申请；所有租赁设施设备的安装、布线和撤除都必须由展会主场搭建商完成；在通电之前，所有用电设备、装置都须由专业人员测试。</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展台如需展具租赁服务，请在2018年09月25日前向展会主场搭建商提交申请</w:t>
      </w:r>
      <w:r>
        <w:rPr>
          <w:rFonts w:hint="eastAsia" w:ascii="宋体" w:hAnsi="宋体"/>
          <w:sz w:val="28"/>
          <w:szCs w:val="28"/>
        </w:rPr>
        <w:t>，现场申请可能无法满足需求。</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参展商不得擅自改动展台结构，不得污染或损坏展台结构及配置，如钉钉、钻孔及粘贴墙纸等；如果在悬挂或陈列展品时需要帮助，请与展会主场搭建商联系。</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不得在展厅的柱子、墙面悬挂或张贴宣传资料。</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展品、展具等不得超出展台边界，不得占用公共区域。</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不得在电线、电箱上堆物，展台内部的物品、资料等堆放须规范，与电线等保持安全距离。</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不得私自拉接电线、私接灯具等，若由于参展商违规操作而造成跳闸、短路、电线起火、电箱损坏等情况，参展商须承担责任并赔偿损失。</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承办单位或展馆有权对可能发生危险的设备设施等采取断电或其他处理措施。</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标准展台内提供的插座只可用于电视、电脑、饮水机等一般家用设备，不能用于展示设备机器接驳或者照明接驳。若参展商自带灯具，须另外申请照明电源；若有展示设备或机器需要使用电源的，须另外申请动力电源；照明电源和动力电源须分开申请；一个插座只能用于一台展示的设备或机器。多项插座不允许使用，以防由于超负荷造成短路。</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各展台须在每天展览结束闭馆时，切断电源，参展商须承担因未切断电源而造成的一切损失。</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展馆于每天闭馆后实施统一断电，如有需要24小时不间断供电、供水、供气设备的展台，请提前向主场搭建商申请，以免损坏机器设备。</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宋体" w:hAnsi="宋体" w:cs="宋体"/>
          <w:sz w:val="28"/>
          <w:szCs w:val="28"/>
        </w:rPr>
      </w:pPr>
      <w:r>
        <w:rPr>
          <w:rFonts w:hint="eastAsia" w:ascii="宋体" w:hAnsi="宋体" w:cs="宋体"/>
          <w:sz w:val="28"/>
          <w:szCs w:val="28"/>
        </w:rPr>
        <w:t>运输相关流程、费用等事宜具体</w:t>
      </w:r>
      <w:r>
        <w:rPr>
          <w:rFonts w:hint="eastAsia" w:ascii="宋体" w:hAnsi="宋体" w:cs="宋体"/>
          <w:sz w:val="28"/>
          <w:szCs w:val="28"/>
          <w:lang w:val="en-US" w:eastAsia="zh-CN"/>
        </w:rPr>
        <w:t>请</w:t>
      </w:r>
      <w:r>
        <w:rPr>
          <w:rFonts w:hint="eastAsia" w:ascii="宋体" w:hAnsi="宋体" w:cs="宋体"/>
          <w:sz w:val="28"/>
          <w:szCs w:val="28"/>
        </w:rPr>
        <w:t>详见本手册《展品运输》，或咨询展会指定主场运输商。</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cs="Times New Roman" w:asciiTheme="minorEastAsia" w:hAnsiTheme="minorEastAsia"/>
        <w:b/>
        <w:sz w:val="28"/>
        <w:szCs w:val="28"/>
      </w:rPr>
    </w:pPr>
    <w:r>
      <w:rPr>
        <w:rFonts w:hint="eastAsia" w:cs="Times New Roman" w:asciiTheme="minorEastAsia" w:hAnsiTheme="minorEastAsia"/>
        <w:b/>
        <w:sz w:val="28"/>
        <w:szCs w:val="28"/>
      </w:rPr>
      <w:t>附件</w:t>
    </w:r>
    <w:r>
      <w:rPr>
        <w:rFonts w:cs="Times New Roman" w:asciiTheme="minorEastAsia" w:hAnsiTheme="minorEastAsia"/>
        <w:b/>
        <w:sz w:val="28"/>
        <w:szCs w:val="28"/>
      </w:rPr>
      <w:t xml:space="preserve">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056B6"/>
    <w:multiLevelType w:val="multilevel"/>
    <w:tmpl w:val="755056B6"/>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788A"/>
    <w:rsid w:val="000164DB"/>
    <w:rsid w:val="00032C2D"/>
    <w:rsid w:val="00043D9B"/>
    <w:rsid w:val="00106205"/>
    <w:rsid w:val="0013788A"/>
    <w:rsid w:val="00164355"/>
    <w:rsid w:val="0017599F"/>
    <w:rsid w:val="00191711"/>
    <w:rsid w:val="00205633"/>
    <w:rsid w:val="002631D7"/>
    <w:rsid w:val="00276E54"/>
    <w:rsid w:val="002A08AD"/>
    <w:rsid w:val="00324B74"/>
    <w:rsid w:val="00346D02"/>
    <w:rsid w:val="00380D19"/>
    <w:rsid w:val="00386AA2"/>
    <w:rsid w:val="003A5906"/>
    <w:rsid w:val="003F6661"/>
    <w:rsid w:val="00456D34"/>
    <w:rsid w:val="004831B7"/>
    <w:rsid w:val="004E7FE3"/>
    <w:rsid w:val="00500A8E"/>
    <w:rsid w:val="005828B9"/>
    <w:rsid w:val="005C056F"/>
    <w:rsid w:val="00602AAD"/>
    <w:rsid w:val="00613B11"/>
    <w:rsid w:val="00616FFA"/>
    <w:rsid w:val="00687715"/>
    <w:rsid w:val="006E2058"/>
    <w:rsid w:val="00780BAD"/>
    <w:rsid w:val="00783CAB"/>
    <w:rsid w:val="00784694"/>
    <w:rsid w:val="00785912"/>
    <w:rsid w:val="007B4ADA"/>
    <w:rsid w:val="00852C4E"/>
    <w:rsid w:val="008678A3"/>
    <w:rsid w:val="008C4A3F"/>
    <w:rsid w:val="009053BF"/>
    <w:rsid w:val="00910821"/>
    <w:rsid w:val="00912E08"/>
    <w:rsid w:val="009B2573"/>
    <w:rsid w:val="009F0CC1"/>
    <w:rsid w:val="00A2652B"/>
    <w:rsid w:val="00A415A1"/>
    <w:rsid w:val="00A45ADA"/>
    <w:rsid w:val="00A8541F"/>
    <w:rsid w:val="00AA1380"/>
    <w:rsid w:val="00AA1A24"/>
    <w:rsid w:val="00AA5B2E"/>
    <w:rsid w:val="00B1645E"/>
    <w:rsid w:val="00B44DEB"/>
    <w:rsid w:val="00B633E5"/>
    <w:rsid w:val="00BC3065"/>
    <w:rsid w:val="00BD29C4"/>
    <w:rsid w:val="00BE41AC"/>
    <w:rsid w:val="00C36C9D"/>
    <w:rsid w:val="00C8571D"/>
    <w:rsid w:val="00C975A5"/>
    <w:rsid w:val="00CB445E"/>
    <w:rsid w:val="00CC5CA7"/>
    <w:rsid w:val="00CF3C75"/>
    <w:rsid w:val="00D357FC"/>
    <w:rsid w:val="00D61EBE"/>
    <w:rsid w:val="00D72BCF"/>
    <w:rsid w:val="00D7476A"/>
    <w:rsid w:val="00D90083"/>
    <w:rsid w:val="00D90C4C"/>
    <w:rsid w:val="00DE1B79"/>
    <w:rsid w:val="00E05A5F"/>
    <w:rsid w:val="00E2796D"/>
    <w:rsid w:val="00E86EE4"/>
    <w:rsid w:val="00E9221A"/>
    <w:rsid w:val="00EC0D0E"/>
    <w:rsid w:val="00EE575B"/>
    <w:rsid w:val="00F02BBC"/>
    <w:rsid w:val="00F20C29"/>
    <w:rsid w:val="00F2343F"/>
    <w:rsid w:val="00F23E79"/>
    <w:rsid w:val="00F71162"/>
    <w:rsid w:val="00F74AA4"/>
    <w:rsid w:val="00F92D60"/>
    <w:rsid w:val="00F939FB"/>
    <w:rsid w:val="00FB0A4F"/>
    <w:rsid w:val="00FC5E85"/>
    <w:rsid w:val="012A19AF"/>
    <w:rsid w:val="02AC4AE4"/>
    <w:rsid w:val="036F381E"/>
    <w:rsid w:val="0E627C87"/>
    <w:rsid w:val="14581E52"/>
    <w:rsid w:val="175E0AD4"/>
    <w:rsid w:val="1D745341"/>
    <w:rsid w:val="1F054C06"/>
    <w:rsid w:val="1F5D5894"/>
    <w:rsid w:val="205B1D1A"/>
    <w:rsid w:val="21762223"/>
    <w:rsid w:val="3633189C"/>
    <w:rsid w:val="382073CC"/>
    <w:rsid w:val="3B9233D0"/>
    <w:rsid w:val="3BEB5377"/>
    <w:rsid w:val="3BFD1907"/>
    <w:rsid w:val="3E562E97"/>
    <w:rsid w:val="3F350286"/>
    <w:rsid w:val="40190424"/>
    <w:rsid w:val="43A47FF0"/>
    <w:rsid w:val="44F54DCF"/>
    <w:rsid w:val="48343EDD"/>
    <w:rsid w:val="4A3C3EE9"/>
    <w:rsid w:val="4C2334F6"/>
    <w:rsid w:val="4DD365E5"/>
    <w:rsid w:val="51316A42"/>
    <w:rsid w:val="52613816"/>
    <w:rsid w:val="56D80E21"/>
    <w:rsid w:val="596F11D4"/>
    <w:rsid w:val="5A081B46"/>
    <w:rsid w:val="5C0930CF"/>
    <w:rsid w:val="5D535E37"/>
    <w:rsid w:val="61345AA9"/>
    <w:rsid w:val="63A207DE"/>
    <w:rsid w:val="6AF57B47"/>
    <w:rsid w:val="6B8E0964"/>
    <w:rsid w:val="6CFA5D87"/>
    <w:rsid w:val="6D64647E"/>
    <w:rsid w:val="6F531BEA"/>
    <w:rsid w:val="70DA34B3"/>
    <w:rsid w:val="721260EE"/>
    <w:rsid w:val="730E1147"/>
    <w:rsid w:val="74195EE3"/>
    <w:rsid w:val="75617539"/>
    <w:rsid w:val="77155AA4"/>
    <w:rsid w:val="7CCA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semiHidden/>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szCs w:val="24"/>
    </w:rPr>
  </w:style>
  <w:style w:type="character" w:customStyle="1" w:styleId="10">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C2218-A0AF-4887-9F0D-4166BC074684}">
  <ds:schemaRefs/>
</ds:datastoreItem>
</file>

<file path=docProps/app.xml><?xml version="1.0" encoding="utf-8"?>
<Properties xmlns="http://schemas.openxmlformats.org/officeDocument/2006/extended-properties" xmlns:vt="http://schemas.openxmlformats.org/officeDocument/2006/docPropsVTypes">
  <Template>Normal</Template>
  <Pages>1</Pages>
  <Words>124</Words>
  <Characters>711</Characters>
  <Lines>5</Lines>
  <Paragraphs>1</Paragraphs>
  <TotalTime>161</TotalTime>
  <ScaleCrop>false</ScaleCrop>
  <LinksUpToDate>false</LinksUpToDate>
  <CharactersWithSpaces>834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2017-12-10T03:08:00Z</dcterms:created>
  <dc:creator>lenovo</dc:creator>
  <cp:lastModifiedBy>GZJH</cp:lastModifiedBy>
  <cp:lastPrinted>2018-05-02T05:57:00Z</cp:lastPrinted>
  <dcterms:modified xsi:type="dcterms:W3CDTF">2018-06-26T02:33:55Z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