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140"/>
        <w:gridCol w:w="438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Application for Special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I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tems Entry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 this form by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Sept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.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Exhibitor: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Booth No.: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45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Application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C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ontent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exact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We hereby apply to the organizer for the following special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item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s that are required in the demonstration of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exhibi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ts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□ move-in of inert gas cylinders;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□ move-in of lubricants, diesel and etc.;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□ air compressors; </w:t>
            </w:r>
          </w:p>
          <w:p>
            <w:pPr>
              <w:ind w:left="420" w:leftChars="200" w:right="420" w:right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□ others: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 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Application for the above special items requires a detailed explanation of their specific uses, specifications and dimensions, etc., together with other relevant materials like pictures and inspection reports.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ind w:left="420" w:leftChars="200" w:right="420" w:rightChars="200"/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In order to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ensure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on-site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safety and securit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we hereby undertake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to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take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the following security measures: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a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ppoint a full-time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safety director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(C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ontact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N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o.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     ) to be responsible for on-site management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; a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nd on-site demonstrations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will be performed by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professionals.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We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also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solemnly p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ledge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that the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using of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above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items will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not have any adverse impact on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 Otherwise w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 will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bear all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liabilit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for any safety ac</w:t>
            </w:r>
            <w:bookmarkStart w:id="0" w:name="_GoBack"/>
            <w:bookmarkEnd w:id="0"/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cident.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41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Signature/Seal:</w:t>
            </w:r>
          </w:p>
        </w:tc>
        <w:tc>
          <w:tcPr>
            <w:tcW w:w="43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Date :        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2018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1F497D" w:themeColor="text2"/>
          <w:kern w:val="0"/>
          <w:szCs w:val="21"/>
          <w14:textFill>
            <w14:solidFill>
              <w14:schemeClr w14:val="tx2"/>
            </w14:solidFill>
          </w14:textFill>
        </w:rPr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Theme="minorEastAsia"/>
          <w:color w:val="000000"/>
          <w:kern w:val="0"/>
          <w:sz w:val="26"/>
          <w:szCs w:val="26"/>
        </w:rPr>
      </w:pPr>
    </w:p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59"/>
    <w:rsid w:val="00577F0B"/>
    <w:rsid w:val="00864D59"/>
    <w:rsid w:val="02ED210B"/>
    <w:rsid w:val="09C96A54"/>
    <w:rsid w:val="27D25AB8"/>
    <w:rsid w:val="4FE95D6F"/>
    <w:rsid w:val="79266B0A"/>
    <w:rsid w:val="79D81B57"/>
    <w:rsid w:val="7A66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2271</Characters>
  <Lines>18</Lines>
  <Paragraphs>5</Paragraphs>
  <TotalTime>1</TotalTime>
  <ScaleCrop>false</ScaleCrop>
  <LinksUpToDate>false</LinksUpToDate>
  <CharactersWithSpaces>2664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2018-06-15T06:02:00Z</dcterms:created>
  <dc:creator>Adim</dc:creator>
  <cp:lastModifiedBy>GZJH</cp:lastModifiedBy>
  <dcterms:modified xsi:type="dcterms:W3CDTF">2018-07-02T06:47:19Z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